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CR.2005.0186 vom 8. September 2005</w:t>
      </w:r>
    </w:p>
    <w:p>
      <w:r>
        <w:t>VD Tribunal cantonal, 2005-09-08, FR</w:t>
      </w:r>
    </w:p>
    <w:p>
      <w:r>
        <w:rPr>
          <w:b/>
        </w:rPr>
        <w:t xml:space="preserve">Quelle: </w:t>
      </w:r>
      <w:r>
        <w:t>https://mcp.opencaselaw.ch/entscheid/vd_omni_CR.2005.0186</w:t>
      </w:r>
    </w:p>
    <w:p>
      <w:r>
        <w:t>FR: VD_OMNI CR.2005.0186 du 8 septembre 2005</w:t>
      </w:r>
    </w:p>
    <w:p>
      <w:r>
        <w:t>IT: VD_OMNI CR.2005.0186 del 8 settembre 2005</w:t>
      </w:r>
    </w:p>
    <w:p>
      <w:pPr>
        <w:pStyle w:val="Heading2"/>
      </w:pPr>
      <w:r>
        <w:t>Regeste</w:t>
      </w:r>
    </w:p>
    <w:p>
      <w:r>
        <w:t>X. /Service des automobiles et de la navigation | Annulation du retrait préventif ordonné à l'encontre d'un conducteur ayant commis deux ivresses au volant (1,0 gr o/oo et 1,81 gr o/oo) en moins de 3 ans, les conditions dans lesquelles la jurisprudence admet d'emblée l'existence d'un soupçon d'alcoolisme n'étant pas remplies et le recourant pouvant en outre se prévaloir d'un bon certificat médical de son médecin-traitant et d'une bonne attestation de son employeur. Toutefois, s'agissant d'un cas limite, une expertise auprès de l'UMTR s'impose, à laquelle le recourant n'est d'ailleurs pas opposé. Renvoi du dossier au SA afin de qu'il poursuivre l'instruction. Recours admis.</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3</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du Tribunal fédéral, un examen de l'aptitude à conduire doit être ordonné lorsqu'un conducteur a circulé avec un taux d'alcoolémie de 2,5 gr o/oo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o/oo au minimum (ATF 126 II 361). Selon une jurisprudence constante (CR.2005.0067 du 4 mai 2005, CR.2004.0332 du 17 février 2005, CR.2005.0005 du 27 janvier 2005, CR.2004.0255 du 8 décembre 2004, CR.2004.0214 du 2 novembre 2004), le Tribunal administratif confirme systématiquement les mesures de retrait de permis à titre préventif lorsque sont remplies les conditions d’un examen de l’aptitude à conduire fixées par la jurisprudence du Tribunal fédéral (une ivresse au volant avec un taux de 2,5 gr o/oo au moins ou deux ivresses au volant avec un taux de 1,6 gr o/oo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(CR.2002.0065 du 17 avril 2002). Néanmoins, le Tribunal administratif a déjà eu l’occasion de s’écarter des critères fixés par la jurisprudence fédérale, s’il existe malgré tout des doutes sérieux quant à l’aptitude à conduire de l’intéressé (CR.2004.0292 du 7 février 2005, CR.2004.0255 du 8 décembre 2004, CR.2004.0155 du 21 juin 2004, CR.2003.0098 du 19 mai 2003, CR.2003.0060 du 21 mars 2003, CR.2003.0171 du 6 octobre 2003).</w:t>
      </w:r>
    </w:p>
    <w:p>
      <w:r>
        <w:rPr>
          <w:b/>
        </w:rPr>
        <w:t>E. 4</w:t>
      </w:r>
    </w:p>
    <w:p>
      <w:r>
        <w:t>En l'espèce, le recourant a conduit deux fois sous l'influence de l'alcool en l'espace de moins de trois ans. Son cas ne correspond toutefois pas en tous points aux hypothèses dans lesquelles le Tribunal fédéral admet d'emblée l'existence d'un soupçon concret et important d'alcoolodépendance (une ivresse de 2,5 gr o/oo ou deux ivresses de 1,6 gr o/oo commises en cinq ans). Reste néanmoins à savoir s'il ne se trouve pas malgré tout dans une situation analogue à celle visée par la jurisprudence et qui pourrait faire naître un soupçon concret et important d'alcoolodépendance. En l'espèce, cette question doit être résolue par la négative. Certes, la situation du recourant se présente comme un cas limite, puisque pour la deuxième fois en moins de trois ans le recourant est interpellé pour ivresse au volant, la seconde fois avec un taux élevé (probablement légèrement supérieur à 2 gr o/oo lorsqu’il a pris le volant, puisque l’analyse de sang a été effectuée deux heures après la perte de maîtrise). Néanmoins, plusieurs éléments parlent en faveur du recourant. Tout d'abord, un certificat médical récent du médecin-traitant atteste que le recourant ne présente pas les symptômes d'un alcoolisme aigu ou chronique. De même, l'employeur du recourant a attesté que ce dernier ne présentait aucun trouble psychologique, ni aucune dépendance à l'alcool et qu'il assumait pleinement ses fonctions, de manière mûre et responsable. Tout bien pesé, ces considérations permettent en l'état de renoncer à la mesure de retrait préventif. Par ailleurs, le recourant ne s’oppose pas à l’expertise confiée à l’UMTR. Au besoin, une nouvelle mesure de retrait préventif pourrait être prononcée si les premiers résultats de l'expertise venaient infirmer les conclusions du médecin traitant.</w:t>
      </w:r>
    </w:p>
    <w:p>
      <w:r>
        <w:rPr>
          <w:b/>
        </w:rPr>
        <w:t>E. 5</w:t>
      </w:r>
    </w:p>
    <w:p>
      <w:r>
        <w:t>Au vu de ce qui précède, la décision attaquée doit être annulée en tant qu’elle ordonne le retrait préventif du permis de conduire et le dossier renvoyé au service intimé afin qu’il poursuive l’instruction avec l’expertise initiée et qu’il rende une décision définitive sur l’aptitude à la conduite automobile du recourant. Le recours est ainsi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