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CR.2005.0164 vom 29. Juni 2006</w:t>
      </w:r>
    </w:p>
    <w:p>
      <w:r>
        <w:t>VD Tribunal cantonal, 2006-06-29, FR</w:t>
      </w:r>
    </w:p>
    <w:p>
      <w:r>
        <w:rPr>
          <w:b/>
        </w:rPr>
        <w:t xml:space="preserve">Quelle: </w:t>
      </w:r>
      <w:r>
        <w:t>https://mcp.opencaselaw.ch/entscheid/vd_omni_CR.2005.0164</w:t>
      </w:r>
    </w:p>
    <w:p>
      <w:r>
        <w:t>FR: VD_OMNI CR.2005.0164 du 29 juin 2006</w:t>
      </w:r>
    </w:p>
    <w:p>
      <w:r>
        <w:t>IT: VD_OMNI CR.2005.0164 del 29 giugno 2006</w:t>
      </w:r>
    </w:p>
    <w:p>
      <w:pPr>
        <w:pStyle w:val="Heading2"/>
      </w:pPr>
      <w:r>
        <w:t>Regeste</w:t>
      </w:r>
    </w:p>
    <w:p>
      <w:r>
        <w:t>X. /Service des automobiles et de la navigation | Le fardeau de la preuve de la notification d'un acte et de sa date incombe en principe à l'autorité qui entend en tirer une conséquence juridique. L'autorité supporte les conséquences de l'absence de preuve en ce sens que, si la notification ou sa date sont contestées et qu'il existe effectivement un doute à ce sujet, il y a lieu de se fonder sur les déclarations du destinataire de l'envoi.</w:t>
      </w:r>
    </w:p>
    <w:p>
      <w:pPr>
        <w:pStyle w:val="Heading2"/>
      </w:pPr>
      <w:r>
        <w:t>Erwägungen</w:t>
      </w:r>
    </w:p>
    <w:p>
      <w:r>
        <w:rPr>
          <w:b/>
        </w:rPr>
        <w:t>E. 1</w:t>
      </w:r>
    </w:p>
    <w:p>
      <w:r>
        <w:t>Suivant l’art. 31 al. 1 de la loi vaudoise du 18 décembre 1989 sur la juridiction et la procédure administratives, le recours s’exerce par écrit dans les vingt jours dès la communication de la décision attaquée. Le fardeau de la preuve de la notification d’un acte et de sa date incombe en principe à l’autorité qui entend en tirer une conséquence juridique (ATF 122 I 97). L’autorité supporte les conséquences de l’absence de preuve en ce sens que, si la notification ou sa date sont contestées et qu’il existe effectivement un doute à ce sujet, il y a lieu de se fonder sur les déclarations du destinataire de l’envoi (ATF 103 V 63). En l’espèce, la décision entreprise porte la date du</w:t>
      </w:r>
    </w:p>
    <w:p>
      <w:r>
        <w:rPr>
          <w:b/>
        </w:rPr>
        <w:t>E. 4</w:t>
      </w:r>
    </w:p>
    <w:p>
      <w:r>
        <w:t>L'autorité qui retire un permis de conduire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Le retrait d'admonestation, ordonné pour cause de violation des règles de la circulation, a pour but d'amender le conducteur et d'empêcher les récidives (art. 30 al. 2 OAC). La durée du retrait sera cependant d'un mois au minimum (art. 17 al. 1 let. a LCR). Le recourant allègue que son activité professionnelle nécessite l'utilisation d'un véhicule, sans être cependant chauffeur professionnel. Cet argument ne peut toutefois pas être pris en compte pour renoncer à une mesure de retrait. En effet, comme exposé, l'utilité que revêt pour l'intéressé la possession de son permis de conduire n'entre pas en ligne de compte lorsqu'il s'agit de choisir entre une mesure de retrait du permis ou un simple avertissement (ATF 105 Ib 225). L'utilité professionnelle n'intervient que pour fixer la durée de la mesure,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contraire à l'égalité de traitement qu'un conducteur professionnel ne puisse encourir un retrait de permis que s'il commet une infraction grave (même arrêt). Dès lors, ordonné pour la durée minimale prévue par l'art. 17 al. 1 lit. a LCR, soit un mois, le retrait de permis ne peut qu'être confirmé,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