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CR.2005.0153 vom 9. August 2005</w:t>
      </w:r>
    </w:p>
    <w:p>
      <w:r>
        <w:t>VD Tribunal cantonal, 2005-08-09, FR</w:t>
      </w:r>
    </w:p>
    <w:p>
      <w:r>
        <w:rPr>
          <w:b/>
        </w:rPr>
        <w:t xml:space="preserve">Quelle: </w:t>
      </w:r>
      <w:r>
        <w:t>https://mcp.opencaselaw.ch/entscheid/vd_omni_CR.2005.0153</w:t>
      </w:r>
    </w:p>
    <w:p>
      <w:r>
        <w:t>FR: VD_OMNI CR.2005.0153 du 9 août 2005</w:t>
      </w:r>
    </w:p>
    <w:p>
      <w:r>
        <w:t>IT: VD_OMNI CR.2005.0153 del 9 agosto 2005</w:t>
      </w:r>
    </w:p>
    <w:p>
      <w:pPr>
        <w:pStyle w:val="Heading2"/>
      </w:pPr>
      <w:r>
        <w:t>Regeste</w:t>
      </w:r>
    </w:p>
    <w:p>
      <w:r>
        <w:t>X. /Service des automobiles et de la navigation | Confirmation d'un retrait préventif ordonné à l'encontre d'une personne résidant dans un établissement pour personnes présentant des troubles psychiques dont le directeur a informé le SA de ses doutes sur la capacité de conduire de l'intéressé. La lettre du directeur de l'établissement est un indice suffisant pour que l'autorité conçoive des doutes sérieux quant à son aptitude à conduire en toute sécurité.</w:t>
      </w:r>
    </w:p>
    <w:p>
      <w:pPr>
        <w:pStyle w:val="Heading2"/>
      </w:pPr>
      <w:r>
        <w:t>Erwägungen</w:t>
      </w:r>
    </w:p>
    <w:p>
      <w:r>
        <w:rPr>
          <w:b/>
        </w:rPr>
        <w:t>E. 1</w:t>
      </w:r>
    </w:p>
    <w:p>
      <w:r>
        <w:t>LCR fixant les conditions de délivrance et de retrait des permis de conduire.</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Selon la jurisprudence constante du Tribunal administratif, le retrait préventif du permis de conduire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w:t>
      </w:r>
    </w:p>
    <w:p>
      <w:r>
        <w:rPr>
          <w:b/>
        </w:rPr>
        <w:t>E. 3</w:t>
      </w:r>
    </w:p>
    <w:p>
      <w:r>
        <w:t>En l’espèce, on pourrait se demander s’il n’apparaît pas choquant que l’autorité intimée ordonne un retrait préventif sans indiquer au recourant quels en sont les motifs, en se fondant uniquement sur des informations qui ne précisent pas de quelle affection souffre le recourant. Le dossier contient certes un préavis du médecin-conseil du Service des automobiles, mais vu l'absence d'indications correspondantes sur la formule ad hoc, ce médecin semble n'avoir pas non plus recueilli d'informations plus précises, même par téléphone. Cependant, les informations en question émanent de l’Institut maïeutique de Lausanne qui, comme cela ressort des informations recueillies sur son site internet précisant qu’il est membre de diverses organisations hospitalières et au bénéfice d'une convention avec le concordat des assureurs-maladie suisses, est un établissement de soins spécialisés destiné à accueillir, en hôpital de jour ou en encadrement vingt-quatre heures sur vingt-quatre, des personnes présentant des troubles psychiques. On peut donc raisonnablement déduire des informations fournies par le directeur de cet institut, malgré son silence sur ce point, que le recourant, qui est un des résidents de l’institut, souffre, selon toute vraisemblance, de problèmes psychiques. Dans ces conditions, la lettre de l’institut qui redoute que l’état du recourant ne lui permette plus de conduire, est effectivement un indice suffisant pour que l'autorité conçoive des doutes sérieux quant à son aptitude à conduire en toute sécurité. Certes, le recourant fait valoir qu’il va mieux et que la décision n’est plus justifiée, mais il ne mentionne que ses problèmes d’apnée du sommeil et non pas les problèmes qui l’ont amené à résider à l’Institut maïeutique ; par ailleurs, aucun élément au dossier (en particulier un certificat médical favorable) ne permet, en l’état, de lever les doutes qui pèsent actuellement sur son aptitude à conduire. Il convient par conséquent d’écarter le recourant de la circulation routière jusqu’à ce que ces doutes soient élucidés au moyen de l’expertise d’ores et déjà mise en œuvre et que le recourant ne conteste d’ailleurs pas.</w:t>
      </w:r>
    </w:p>
    <w:p>
      <w:r>
        <w:rPr>
          <w:b/>
        </w:rPr>
        <w:t>E. 4</w:t>
      </w:r>
    </w:p>
    <w:p>
      <w:r>
        <w:t>Au vu de ce qui précède, le recours doit être rejeté aux frais du recourant. Seul un émolument réduit sera mis à la charge du recourant au vu du caractère sommaire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