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CR.2005.0150 vom 26. Juli 2000</w:t>
      </w:r>
    </w:p>
    <w:p>
      <w:r>
        <w:t>VD Tribunal cantonal, 2000-07-26, FR</w:t>
      </w:r>
    </w:p>
    <w:p>
      <w:r>
        <w:rPr>
          <w:b/>
        </w:rPr>
        <w:t xml:space="preserve">Quelle: </w:t>
      </w:r>
      <w:r>
        <w:t>https://mcp.opencaselaw.ch/entscheid/vd_omni_CR.2005.0150</w:t>
      </w:r>
    </w:p>
    <w:p>
      <w:r>
        <w:t>FR: VD_OMNI CR.2005.0150 du 26 juillet 2000</w:t>
      </w:r>
    </w:p>
    <w:p>
      <w:r>
        <w:t>IT: VD_OMNI CR.2005.0150 del 26 luglio 2000</w:t>
      </w:r>
    </w:p>
    <w:p>
      <w:pPr>
        <w:pStyle w:val="Heading2"/>
      </w:pPr>
      <w:r>
        <w:t>Regeste</w:t>
      </w:r>
    </w:p>
    <w:p>
      <w:r>
        <w:t>X./Service des automobiles et de la navigation | Confirmation du retrait préventif et de l'expertise UMTR ordonnés à l'encontre d'un conducteur qui, au volant d'une voiture de sport effectue des démarrages et fait la course avec son ami sur une courte distance sur une route de campagne et qui, selon toute vraisemblance et des témoignages concordants, conduit quelques semaines plus tard malgré l'interdiction de conduire et le retrait préventif ordonnés à son encontre. Il y a un risque que le recourant récidive prochainement sous l'effet de pulsions qu'il semble incapable de maîtriser.</w:t>
      </w:r>
    </w:p>
    <w:p>
      <w:pPr>
        <w:pStyle w:val="Heading2"/>
      </w:pPr>
      <w:r>
        <w:t>Erwägungen</w:t>
      </w:r>
    </w:p>
    <w:p>
      <w:r>
        <w:rPr>
          <w:b/>
        </w:rPr>
        <w:t>E. 1</w:t>
      </w:r>
    </w:p>
    <w:p>
      <w:r>
        <w:t>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En l’espèce, l'autorité intimée considère que les infractions commise par le recourant (non respect de la vitesse signalée hors localités, accélérer trop rapidement au démarrage, conducteur incommodant les riverains en provoquant du bruit inutile, circuler de front avec un autre usager dans le but de faire la course et effectuer en localité des va-et-vient ou des circuits inutiles commis le 11 mai 2005 à Savigny) font naître des doutes sérieux sur son aptitude à conduire. Sans le mentionner expressément dans la décision attaquée, l’autorité intimée semble ainsi soupçonner le recourant de présenter une inaptitude caractérielle à la conduite automobile. En définitive, il faut se poser la question de savoir si, au vu des événements survenus le 11 mai 2005 à Savigny et le 29 juin 2005 à Pully, il est urgent de retirer immédiatement le recourant de la circulation compte tenu des risques qu’il représente pour les autres usagers de la route. Certes, le recourant conteste avoir conduit malgré l’interdiction de conduire le 29 juin à Pully, mais ce faisant, il perd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et que l'autorité peut ainsi se contenter de faits dont la constatation ne franchit encore que le seuil d'une vraisemblance suffisante (CR.2003.0060 ; CR.2003.0070 ; CR.2003.0098 ; CR.2004.0083 ; CR.2004.0087). Au vu des déclarations concordantes des deux témoins qui ont spontanément attiré l’attention de la police sur le fait que c’était le recourant qui était au volant du véhicule ce jour-là et qu’il est sorti de l’habitacle par la portière gauche pour ramasser sa plaque d’immatriculation qui était tombée, le tribunal retiendra que le recourant a conduit le véhicule en cause le 29 juin 2005, alors qu’il avait fait l’objet d’une interdiction de conduire le 11 mai 2005 et d’un retrait préventif de son permis de conduire le 16 juin 2005. Il est vrai que le recourant n’a pas été interpellé à ce sujet, mais cela ne s’impose pas en cas de retrait préventif. Dans d’autres affaires concernant de très graves excès de vitesse (CR.2003.0251, CR.2004.0010, CR.2004.0023, en l'absence de circonstances accessoires à la commission de cette infraction pouvant révéler que l'intéressé n'était pas capable d'évaluer la situation )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ou qu'il s'agissait d'un épisode isolé dans la vie d'automobiliste de l'intéressé (CR.2004.0269 et CR.2004.0287).</w:t>
      </w:r>
    </w:p>
    <w:p>
      <w:r>
        <w:rPr>
          <w:b/>
        </w:rPr>
        <w:t>E. 3</w:t>
      </w:r>
    </w:p>
    <w:p>
      <w:r>
        <w:t>En l’espèce et contrairement à l’appréciation dont le dossier CR.2005.0149 fait l’objet par arrêt de ce jour, l’épisode de conduite dangereuse n’apparaît pas comme un acte isolé puisque le recourant a récidivé peu après ; alors qu’il avait déclaré à la police qu’il regrettait ses actes et qu’il ne recommencerait plus, le recourant a récidivé quelques semaines plus tard en prenant le volant alors qu’il faisait l’objet d’un retrait préventif de son permis et en persistant à nier les faits, malgré deux témoignages contraires accablants, démontrant ainsi un mépris flagrant des règles de la circulation routière et un irrespect patent des sanctions prononcées à son encontre. Dans ces conditions, le tribunal ne peut que présumer que le recourant risque de récidiver prochainement sous l'effet de pulsions qu’il semble malheureusement incapable de maîtriser. L e recourant apparaît dès lors comme un danger imminent pour la sécurité du trafic et il est convient de l’écarter immédiatement de la circulation routière, de sorte qu’une mesure de retrait préventif se justifie.</w:t>
      </w:r>
    </w:p>
    <w:p>
      <w:r>
        <w:rPr>
          <w:b/>
        </w:rPr>
        <w:t>E. 4</w:t>
      </w:r>
    </w:p>
    <w:p>
      <w:r>
        <w:t>S'agissant de l'obligation de se soumettre à une expertise médicale en cas de soupçon d'alcoolisme, le Tribunal fédéral a jugé à ce sujet qu'une telle mesure portait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comme dans le cas présent. En l'espèce, vu les craintes que suscite le comportement du recourant en tant que conducteur, l’expertise auprès de l’UMTR, que le recourant ne conteste d’ailleurs pas expressément, doit être confirmée. Au vu de ce qui précède, le recours doit être rejeté aux frais du recourant qui n’a pas droit à des dépens. Le dossier sera renvoyé à l'autorité intimée pour qu'elle rende une nouvelle décision à connaissance du résultat de l’expertise de l’UMTR.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