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CR.2005.0145 vom 14. Februar 2007</w:t>
      </w:r>
    </w:p>
    <w:p>
      <w:r>
        <w:t>VD Tribunal cantonal, 2007-02-14, FR</w:t>
      </w:r>
    </w:p>
    <w:p>
      <w:r>
        <w:rPr>
          <w:b/>
        </w:rPr>
        <w:t xml:space="preserve">Quelle: </w:t>
      </w:r>
      <w:r>
        <w:t>https://mcp.opencaselaw.ch/entscheid/vd_omni_CR.2005.0145</w:t>
      </w:r>
    </w:p>
    <w:p>
      <w:r>
        <w:t>FR: VD_OMNI CR.2005.0145 du 14 février 2007</w:t>
      </w:r>
    </w:p>
    <w:p>
      <w:r>
        <w:t>IT: VD_OMNI CR.2005.0145 del 14 febbraio 2007</w:t>
      </w:r>
    </w:p>
    <w:p>
      <w:pPr>
        <w:pStyle w:val="Heading2"/>
      </w:pPr>
      <w:r>
        <w:t>Regeste</w:t>
      </w:r>
    </w:p>
    <w:p>
      <w:r>
        <w:t>X. /Service des automobiles et de la navigation | Les conditions permettant au TA de s'écarter des faits retenus dans le jugement définitif du Tribunal fédéral ne sont pas réunies, de sorte qu'on doit retenir que le recourant a commis un excès de vitesse de 37 km/h hors des localités. Il s'agit d'une infraction grave selon la jurisprudence mais au vu du besoin professionnel, la durée du retrait doit être réduite au minimum légal d'un mois prévu par l'ancien droit applicable en l'espèce. Recours partiellement admis.</w:t>
      </w:r>
    </w:p>
    <w:p>
      <w:pPr>
        <w:pStyle w:val="Heading2"/>
      </w:pPr>
      <w:r>
        <w:t>Erwägungen</w:t>
      </w:r>
    </w:p>
    <w:p>
      <w:r>
        <w:rPr>
          <w:b/>
        </w:rPr>
        <w:t>E. 1</w:t>
      </w:r>
    </w:p>
    <w:p>
      <w:r>
        <w:t>En premier, il faut relever que la situation du recourant concernant son domicile ne semble pas très claire, mais qu'il importe cependant peu d'élucider ces faits, dans la mesure où le recourant n'a pas de domicile en Suisse: en effet, l'art. 22 LCR prévoit que lorsqu’un conducteur n’est pas domicilié en Suisse, la compétence se détermine d’après le lieu où il se trouve le plus fréquemment et que, dans le doute, le canton compétent est celui qui s’est saisi le premier du cas. En l'espèce, l'infraction litigieuse a eu lieu dans le Canton de Vaud, de sorte que c'est l'autorité de ce canton qui s'est saisie en premier du cas, devenant ainsi l'autorité compétente.</w:t>
      </w:r>
    </w:p>
    <w:p>
      <w:r>
        <w:rPr>
          <w:b/>
        </w:rPr>
        <w:t>E. 2</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consid. 3).</w:t>
      </w:r>
    </w:p>
    <w:p>
      <w:r>
        <w:rPr>
          <w:b/>
        </w:rPr>
        <w:t>E. 3</w:t>
      </w:r>
    </w:p>
    <w:p>
      <w:r>
        <w:t>En l'espèce, les conditions permettant à l'autorité administrative de s'écarter du jugement définitif du Tribunal fédéral ne sont pas réunies. En effet, le dossier ne contient pas d'éléments de faits inconnus du juge pénal, ni de preuves nouvelles; par ailleurs, le tribunal de céans se rallie pleinement à l'appréciation à laquelle s'est livré le Tribunal fédéral. On retiendra donc, à l'instar du juge pénal, que la signalisation du chantier était en place et bien visible et que l'erreur dont le recourant entend se prévaloir était évitable. Même si l'on retenait que la recourant n'avait pas vu cette signalisation, le non-respect de celle-ci procéderait d'une si grave négligence que l'excès de vitesse de 37 km/h hors des localités n'en devrait pas moins être sanctionné.</w:t>
      </w:r>
    </w:p>
    <w:p>
      <w:r>
        <w:rPr>
          <w:b/>
        </w:rPr>
        <w:t>E. 4</w:t>
      </w:r>
    </w:p>
    <w:p>
      <w:r>
        <w:t>L'infraction a été commise en 2004, de sorte que c'est encore l'ancien droit, en vigueur jusqu'au 31 décembre 2004 qui s'applique en l'espèce. 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let. a LCR, le permis de conduire doit être retiré si le conducteur a compromis gravement la sécurité de la route.</w:t>
      </w:r>
    </w:p>
    <w:p>
      <w:r>
        <w:rPr>
          <w:b/>
        </w:rPr>
        <w:t>E. 5</w:t>
      </w:r>
    </w:p>
    <w:p>
      <w:r>
        <w:t>Le Tribunal fédéral a récapitulé les règles fixées par la jurisprudence dans le domaine des excès de vitesse dans l’ATF 124 II 475 : ces règles distinguent la circulation sur les autoroutes, les autres routes (à savoir les routes hors des localités et les semi-autoroutes dont les chaussées dans les deux directions ne sont pas séparées) et la circulation à l'intérieur des localités. S'agissant de la circulation sur les routes hors des localités, la jurisprudence a posé les principes suivants: dès que l'excès de vitesse atteint 15 km/h, un avertissement doit être prononcé; si le dépassement de vitesse est compris entre 26 et 29 km/h, le retrait facultatif du permis doit être ordonné, tandis que le retrait du permis est obligatoire si le dépassement de vitesse atteint 30 km/h ou plus. Ces principes sont applicables lorsque les conditions de la circulation sont favorables et que le conducteur jouit d'une bonne réputation en tant qu'automobiliste. Il n'est nullement exclu de faire preuve d'une plus grande sévérité en fonction des circonstances concrètes(ATF 124 II 475; ATF 124 II 259; ATF 124 II 97; ATF 123 II 106). En l'espèce, le recourant a commis un excès de vitesse de 37 km/h hors des localités. Un tel dépassement de vitesse constitue, selon la jurisprudence, un cas grave entraînant un retrait obligatoire du permis de conduire.</w:t>
      </w:r>
    </w:p>
    <w:p>
      <w:r>
        <w:rPr>
          <w:b/>
        </w:rPr>
        <w:t>E. 6</w:t>
      </w:r>
    </w:p>
    <w:p>
      <w:r>
        <w:t>Selon les anciens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En l'espèce, comme on l'a vu, la faute commise est grave, mais la quotité de l'excès de vitesse n'est pas si importante qu'elle devrait à elle seule entraîner un retrait s'écartant du minimum légal d'un mois. Certes, le recourant a fait l'objet d'un avertissement en 2000, de sorte que sa réputation de conducteur n'est pas sans tache, mais cet antécédent est relativement ancien, puisqu'il a été prononcé plus de quatre ans avant la commission de l'infraction litigieuse et qu'il ne figure plus dans le nouvel extrait du fichier mis à jour par l'autorité intimée le 18 décembre 2006. Par ailleurs, il faut tenir compte de l'utilité professionnelle dont peut se prévaloir le recourant en tant qu'employé chez Y.________ à ********, mais résidant, selon ses dires, en France voisine dans sa résidence secondaire. En effet, comme l'a déjà relevé le tribunal de céans dans de précédents arrêts (CR.2005.0405 et CR.2006.0265), c'est à tort que l'autorité intimée affirme dans sa réponse au recours que le déplacement du domicile au lieu de travail ne crée pas un besoin professionnel de conduire des véhicules selon la jurisprudence. En effet, le Tribunal fédéral a jugé que toute utilité professionnelle accrue du permis de conduire doit être prise en compte dans le cadre de l'art. 33 al. 2 OAC (aujourd'hui remplacé par l'art. 16 al. 3 LCR en vigueur depuis le 1 er janvier 2005). L'autorité ne doit pas se contenter de constater que le retrait de permis n'empêche pas matériellement l'intéressé d'exercer son activité professionnelle car il y a une gradation dans la sensibilité du conducteur à la mesure (ATF 123 II 572). Par ailleurs, il ne s'agit pas d'apprécier l'utilité professionnelle du permis de conduire de manière isolée pour déterminer si elle justifie en soi une réduction de la durée de la mesure. Ce n'est que lors de l'appréciation d'ensemble de tous les éléments déterminants qu'il convient d'examiner si l'utilité professionnelle, en soi ou cas échéant en combinaison avec d'autres éléments (comme les bons antécédents du conducteur), justifie une diminution de la durée "de base" de la mesure. (ATF 123 II 572, consid. 2c et CR.2006.0265). Au vu de ce qui précède, le tribunal juge qu'un retrait de deux mois, soit le double du minimum légal, est disproportionné par rapport à l'ensemble des circonstances du cas présent. Un retrait s'en tenant au minimum d'un mois est adéquat en l'espèce.</w:t>
      </w:r>
    </w:p>
    <w:p>
      <w:r>
        <w:rPr>
          <w:b/>
        </w:rPr>
        <w:t>E. 7</w:t>
      </w:r>
    </w:p>
    <w:p>
      <w:r>
        <w:t>La décision attaquée doit dès lors être réformée en ce sens que la durée du retrait est ramenée à un mois. Le recours est ainsi partiellement admis, de sorte qu'un émolument réduit sera mis à la charge du recourant qui aura droit à des dépens partiels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