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CR.2005.0134 vom 5. September 2005</w:t>
      </w:r>
    </w:p>
    <w:p>
      <w:r>
        <w:t>VD Tribunal cantonal, 2005-09-05, FR</w:t>
      </w:r>
    </w:p>
    <w:p>
      <w:r>
        <w:rPr>
          <w:b/>
        </w:rPr>
        <w:t xml:space="preserve">Quelle: </w:t>
      </w:r>
      <w:r>
        <w:t>https://mcp.opencaselaw.ch/entscheid/vd_omni_CR.2005.0134</w:t>
      </w:r>
    </w:p>
    <w:p>
      <w:r>
        <w:t>FR: VD_OMNI CR.2005.0134 du 5 septembre 2005</w:t>
      </w:r>
    </w:p>
    <w:p>
      <w:r>
        <w:t>IT: VD_OMNI CR.2005.0134 del 5 settembre 2005</w:t>
      </w:r>
    </w:p>
    <w:p>
      <w:pPr>
        <w:pStyle w:val="Heading2"/>
      </w:pPr>
      <w:r>
        <w:t>Regeste</w:t>
      </w:r>
    </w:p>
    <w:p>
      <w:r>
        <w:t>X. /Service des automobiles et de la navigation | Confirmation du retrait préventif ordonné à l'encontre d'un conducteur ayant commis en moins de 5 ans 3 ivresses au volant - 1,49 gr o/oo, 1,34 gr o/oo et 1,08 gr o/oo, étant précisé que ce dernier taux a été révélé par le test à l'éthylomètre (et non par une analyse sanguine à laquelle le recourant s'est opposé). Les lourdes sanctions prononcées (retraits de 4 et 16 mois), la proximité dans le temps des trois cas d'ivresse et les taux font naître des doutes suffisamment sérieux sur l'aptitude du recourant à la conduite, malgré un certificat médical indiquant qu'il n'y a pas de signe "évident" d'alcoolisme aigu ou chronique.</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o/oo ou plus, même s'il n'a pas commis d'infraction de cette nature dans les cinq ans qui précèdent. En effet, les personnes pouvant atteindre un tel taux d'alcoolémie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o/oo au minimum (ATF 126 II 361). Selon une jurisprudence constante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l’aptitude à conduire fixées par la jurisprudence du Tribunal fédéral (une ivresse au volant avec un taux de 2,5 gr o/oo au moins ou deux ivresses au volant avec un taux de 1,6 gr o/oo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 Néanmoins, le Tribunal administratif a déjà eu l’occasion de s’écarter des critères fixés par la jurisprudence fédérale, s’il existe malgré tout des doutes sérieux quant à l’aptitude à conduire de l’intéressé (CR.2004.0292 du 7 février 2005, CR.2004.0255 du 8 décembre 2004, CR.2004.0155 du 21 juin 2004, CR.2003.0098 du 19 mai 2003, CR.2003.0060 du 21 mars 2003, CR.2003.0171 du 6 octobre 2003).</w:t>
      </w:r>
    </w:p>
    <w:p>
      <w:r>
        <w:rPr>
          <w:b/>
        </w:rPr>
        <w:t>E. 3</w:t>
      </w:r>
    </w:p>
    <w:p>
      <w:r>
        <w:t>En l'espèce, le recourant a conduit trois fois sous l’influence de l’alcool en l’espace de moins de cinq ans. Même si le cas ne correspond pas en tous points avec les hypothèses dans lesquelles le Tribunal fédéral admet d'emblée l'existence d'un soupçon concret et important d'alcoolodépendance (une ivresse de 2,5 gr o/oo ou deux ivresses de 1,6 gr o/oo commises en cinq ans), on se trouve dans une situation comparable puisque c'est la troisième fois en moins de cinq ans que le recourant est interpellé pour ivresse au volant avec un taux d'alcoolémie respectivement de 1,49 gr o/oo, 1,34 gr o/oo et 1,08 gr o/oo au minimum. Ce dernier taux a d’ailleurs été révélé par le test effectué au moyen de l’éthylomètre et n’a pas été confirmé par une analyse sanguine, à laquelle le recourant s’est opposé. Il ne s’agit dès lors que d’une valeur indicative, probablement inférieure au taux d’alcoolémie que présentait réellement le recourant. Par ailleurs, on constate à la lumière du dossier que les sanctions lourdes prononcées par le passé - considérant les cas d’ivresse au volant uniquement - de quatre, respectivement seize mois - n’ont manifestement pas eu l’effet escompté. En définitive, ces éléments, soit notamment les antécédents du recourant, la proximité dans le temps des trois cas d'ivresse au volant et les taux d'alcoolémie constatés font naître des doutes suffisamment sérieux sur l’aptitude du recourant à conduire en toute sécurité et justifient de ce fait le retrait préventif de son permis de conduire jusqu’à ce qu’ils soient élucidés. A cet égard, le certificat médical établi par le médecin-traitant du recourant le 4 avril 2005 n’est pas suffisamment explicite pour permettre d’infirmer ces doutes : en effet, ce certificat se borne à indiquer que l'intéressé ne présente pas de signe "évident" d'alcoolisme aigu ou chronique. Dès lors seule une expertise auprès de l’UMTR sera à même de lever ou de confirmer des doutes justifiés par le comportement du recourant. On relève au demeurant que le recourant ne conteste pas l'expertise requise par le Service des automobiles.</w:t>
      </w:r>
    </w:p>
    <w:p>
      <w:r>
        <w:rPr>
          <w:b/>
        </w:rPr>
        <w:t>E. 4</w:t>
      </w:r>
    </w:p>
    <w:p>
      <w:r>
        <w:t>Il ressort des considérants qui précèdent que le recours doit être rejeté aux frais du recourant qui, débouté,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