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CR.2005.0111 vom 3. Juni 2005</w:t>
      </w:r>
    </w:p>
    <w:p>
      <w:r>
        <w:t>VD Tribunal cantonal, 2005-06-03, FR</w:t>
      </w:r>
    </w:p>
    <w:p>
      <w:r>
        <w:rPr>
          <w:b/>
        </w:rPr>
        <w:t xml:space="preserve">Quelle: </w:t>
      </w:r>
      <w:r>
        <w:t>https://mcp.opencaselaw.ch/entscheid/vd_omni_CR.2005.0111</w:t>
      </w:r>
    </w:p>
    <w:p>
      <w:r>
        <w:t>FR: VD_OMNI CR.2005.0111 du 3 juin 2005</w:t>
      </w:r>
    </w:p>
    <w:p>
      <w:r>
        <w:t>IT: VD_OMNI CR.2005.0111 del 3 giugno 2005</w:t>
      </w:r>
    </w:p>
    <w:p>
      <w:pPr>
        <w:pStyle w:val="Heading2"/>
      </w:pPr>
      <w:r>
        <w:t>Regeste</w:t>
      </w:r>
    </w:p>
    <w:p>
      <w:r>
        <w:t>X.________c/ Service des automobiles et de la navigation | Confirmation d'un retrait préventif ordonné suite à une ivresse au volant (1,82 gr.o/oo) commise moins de deux ans après une précédente ivresse au volant (2,11 gr. o/oo) conformément à la jurisprudence constante du TF et du TA en matière de retrait préventif pour récidive d'ivresse au volant.</w:t>
      </w:r>
    </w:p>
    <w:p>
      <w:pPr>
        <w:pStyle w:val="Heading2"/>
      </w:pPr>
      <w:r>
        <w:t>Erwägungen</w:t>
      </w:r>
    </w:p>
    <w:p>
      <w:r>
        <w:rPr>
          <w:b/>
        </w:rPr>
        <w:t>E. 1</w:t>
      </w:r>
    </w:p>
    <w:p>
      <w:r>
        <w:t>Selon le nouvel 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Ces règles figuraient précédemment aux art. 14 al. 2, 16 al. 1 et 17 al. 1bis LCR dans la teneur en vigueur jusqu’au 31 décembre 2004.</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Selon la jurisprudence du Tribunal fédéral, un examen de l'aptitude à conduire doit être ordonné lorsqu'un conducteur a circulé avec un taux d'alcoolémie de 2,5 gr.‰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au minimum (ATF 126 II 361). Selon une jurisprudence constante (CR.2005.0067 du 4 mai 2005, CR.2004.0332 du 17 février 2005, CR.2005.0005 du 27 janvier 2005, CR.2004.0255 du 8 décembre 2004, CR.2004.0214 du 2 novembre 2004), le Tribunal administratif confirme systématiquement les mesures de retrait de permis à titre préventif lorsque sont remplies les conditions d’un examen de l’aptitude à conduire fixées par la jurisprudence du Tribunal fédéral (une ivresse au volant avec un taux de 2,5 gr. ‰ au moins ou deux ivresses au volant avec un taux de 1,6 gr. ‰ au moins). En effet, le Tribunal administratif a déduit de cette jurisprudence que, dans de tels cas, les craintes qu'inspire le comportement du conducteur vis-à-vis de l'alcool sont telles qu'il doit être écarté immédiatement de la circulation routière jusqu'à ce que les doutes quant à son aptitude à conduire aient été levés au moyen d'une expertise (CR.2002.0065 du 17 avril 2002).</w:t>
      </w:r>
    </w:p>
    <w:p>
      <w:r>
        <w:rPr>
          <w:b/>
        </w:rPr>
        <w:t>E. 3</w:t>
      </w:r>
    </w:p>
    <w:p>
      <w:r>
        <w:t>En l’espèce, le recourant a conduit un véhicule avec un taux d’alcoolémie de 1,82 ‰ moins de deux ans après avoir commis une ivresse au volant avec taux d’alcoolémie de 2,11 gr. ‰, de sorte qu’il remplit les conditions dans lesquelles la jurisprudence admet d’emblée l’existence d’un soupçon d’alcoolisme justifiant un réexamen de l’aptitude à conduire. Il y a donc bien lieu de confirmer la mise en œuvre de l’expertise auprès de l’UMTR. Selon la jurisprudence constante du Tribunal administratif, force est par ailleurs de constater que les sérieux doutes qui pèsent sur l’aptitude à conduire du recourant justifient également le prononcé d’un retrait préventif de son permis de conduire jusqu’à ce qu’ils soient levés, auquel cas le recourant devra faire l’objet d’un retrait de permis à titre d’admonestation sanctionnant l’infraction commise (d’une durée de douze mois au moins en application de l’art. 16c al. 2 lit. c LCR) ou confirmés, auquel cas le recourant devra faire l’objet d’un retrait de sécurité d’une durée indéterminée.</w:t>
      </w:r>
    </w:p>
    <w:p>
      <w:r>
        <w:rPr>
          <w:b/>
        </w:rPr>
        <w:t>E. 4</w:t>
      </w:r>
    </w:p>
    <w:p>
      <w:r>
        <w:t>La décision attaquée est ainsi confirmée et le recours rejeté. Compte tenu du caractère sommaire de la présente procédure, seul un émolument réduit sera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