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CR.2005.0107 vom 8. Februar 2006</w:t>
      </w:r>
    </w:p>
    <w:p>
      <w:r>
        <w:t>VD Tribunal cantonal, 2006-02-08, FR</w:t>
      </w:r>
    </w:p>
    <w:p>
      <w:r>
        <w:rPr>
          <w:b/>
        </w:rPr>
        <w:t xml:space="preserve">Quelle: </w:t>
      </w:r>
      <w:r>
        <w:t>https://mcp.opencaselaw.ch/entscheid/vd_omni_CR.2005.0107</w:t>
      </w:r>
    </w:p>
    <w:p>
      <w:r>
        <w:t>FR: VD_OMNI CR.2005.0107 du 8 février 2006</w:t>
      </w:r>
    </w:p>
    <w:p>
      <w:r>
        <w:t>IT: VD_OMNI CR.2005.0107 del 8 febbraio 2006</w:t>
      </w:r>
    </w:p>
    <w:p>
      <w:pPr>
        <w:pStyle w:val="Heading2"/>
      </w:pPr>
      <w:r>
        <w:t>Regeste</w:t>
      </w:r>
    </w:p>
    <w:p>
      <w:r>
        <w:t>X. /Service des automobiles et de la navigation | En cas d'échec à une course de contrôle destinée à procéder à l'échange d'un permis de conduire étranger contre un permis suisse, le tribunal ne substitue pas son appréciation à celle de l'expert. La sévérité démontrée par l'expert lors de la course de contrôle ou le stress généré par l'examen ne permettent pas de pardonner les erreurs commises par le conducteur.</w:t>
      </w:r>
    </w:p>
    <w:p>
      <w:pPr>
        <w:pStyle w:val="Heading2"/>
      </w:pPr>
      <w:r>
        <w:t>Erwägungen</w:t>
      </w:r>
    </w:p>
    <w:p>
      <w:r>
        <w:rPr>
          <w:b/>
        </w:rPr>
        <w:t>E. 1</w:t>
      </w:r>
    </w:p>
    <w:p>
      <w:r>
        <w:t>L'art. 42 de l'ordonnance du 27 octobre 1976 réglant l'admission des personnes et des véhicules à la circulation routière (OAC) dispose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w:t>
      </w:r>
    </w:p>
    <w:p>
      <w:r>
        <w:rPr>
          <w:b/>
        </w:rPr>
        <w:t>E. 2</w:t>
      </w:r>
    </w:p>
    <w:p>
      <w:r>
        <w:t>Le recourant s'est soumis à la course de contrôle prévue par l'art. 44 al. 1 OAC. Il conteste aussi bien le résultat de cette course que les circonstances dans lesquelles elle s’est déroulée. Le tribunal de céans a déjà jugé à plusieurs reprises qu'il n'était pas en mesure de substituer son appréciation à celle de l'expert du SAN et qu'il ne fallait par conséquent pas procéder à l'échange sans examen d'un permis de conduire étranger contre un permis suisse lorsque les résultats de la course de contrôle étaient insuffisants (voir dans ce sens notamment l’arrêt CR.2001.0334 du 4 juin 2002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l'intéressée ait pu conduire précédemment en Suisse sans attirer l'attention de l'autorité et qu’il est autorisé à conduire au Maroc n'est pas suffisant pour renverser les constatations faites par l'expert (ATF 2A.735/2004 du 1 er avril 2005 consid. 4 ; arrêts CR.1994.0047 du 18 avril 1994, CR.1994.0059 du 4 juillet 1994). L’expert a relevé dans son rapport un certain nombre d’erreurs commises par le recourant, ainsi que des interventions de sécurité verbale, au volant et au frein. Rien ne permet de mettre en doute les erreurs relevées par l’expert. On déduit d’ailleurs des déterminations du recourant qu’il admet avoir méconnu un signal indiquant un impasse. C’est donc bien le comportement général du recourant dans le trafic qui a conduit l'expert à considérer la course comme échouée. Selon le recourant, le résultat négatif de la course de contrôle est directement lié au comportement de l’expert envers lui : l’inspecteur se serait montré agité et agressif dans ses propos dès même avant le début de la course, ce qui aurait eu pour conséquence d’augmenter encore le stress du recourant, déjà élevé en raison de l’examen. L’expert se serait encore montré exagérément sévère. Comme l’a jugé le Tribunal fédéral (ATF 2A.735/2004 du 1 er avril 2005), tout conducteur est de plus en plus fréquemment exposé à des réactions imprévisibles. Il doit cependant être en mesure de conserver son sang-froid et de ne pas se laisser déstabiliser pour autant. On peut donc exiger du conducteur astreint à une course de contrôle qu'il ne se montre pas désarçonné au point de commettre des erreurs de conduite par le comportement de l'inspecteur en charge de cette course, fût-il empreint d'une sévérité certaine. En l’espèce, rien n’indique que le comportement de l’expert ait été inapproprié. Il appert bien davantage que c’est la situation particulière de l’examen qui a modifié la perception du recourant et l’a rendu plus réceptif aux remarques de l’inspecteur en charge de la course. Cet point est illustré par l’incompréhension témoignée par le recourant lorsque l’inspecteur lui a demandé de retirer le panneau « L » de son véhicule avant la course. Le recourant a ressenti sans motifs cette demande comme emprunte d’agressivité, alors qu’elle ne procédait que d’un respect des dispositions légales, le recourant n’ayant pas le statut d’élève conducteur. Quant à la sévérité de l’expert alléguée par le recourant, elle n’est pas en soi contestable. Elle ne pourrait l’être que si elle résultait d’un jugement partial, ce que ne laisse envisager aucun indice dans la présente cause, et ce qui n’est d’ailleurs pas invoqué par le recourant. En conséquence, rien ne permet de penser que le comportement de l’inspecteur ait été inapproprié et que sa réaction aux erreurs de conduite du recourant n’ait pas été à la mesure de ces dernières.</w:t>
      </w:r>
    </w:p>
    <w:p>
      <w:r>
        <w:rPr>
          <w:b/>
        </w:rPr>
        <w:t>E. 3</w:t>
      </w:r>
    </w:p>
    <w:p>
      <w:r>
        <w:t>Le recourant invoque encore l’existence d’une erreur de procédure, le SAN aurait omis de lui remettre un copie signée du procès-verbal d’examen. Contrairement à ce que soutient le recourant, la remise du procès-verbal d’examen à l’issue de la course de contrôle ne découle pas d’une exigence légale, mais uniquement d’une pratique adoptée antérieurement par le SAN. Cette omission n’a donc pas d’influence sur le sort du présent recours.</w:t>
      </w:r>
    </w:p>
    <w:p>
      <w:r>
        <w:rPr>
          <w:b/>
        </w:rPr>
        <w:t>E. 4</w:t>
      </w:r>
    </w:p>
    <w:p>
      <w:r>
        <w:t>L'usage d'un permis étranger peut être interdit en vertu des dispositions qui s'appliquent au retrait du permis de conduire suisse (art. 45 al. 1 OAC); les art. 14 et 16 LCR sont dès lors applicables. Ils ressort de ces articles que les permis et autorisations sont retirés lorsque l'autorité constate que les conditions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la vision du trafic, la maîtrise des conditions de circulation et du véhicule. Dans ces circonstances, l'autorité intimée était dès lors également fondée, sur la base des art. 14 et 16 LCR, à interdire au recourant de conduire en Suisse, pour une durée indéterminée, en se prévalant de son permis de conduire marocain.</w:t>
      </w:r>
    </w:p>
    <w:p>
      <w:r>
        <w:rPr>
          <w:b/>
        </w:rPr>
        <w:t>E. 5</w:t>
      </w:r>
    </w:p>
    <w:p>
      <w:r>
        <w:t>Au vu de ce qui précède, la décision attaquée doit être confirmée et le recours rejeté. Les frais de justice par 600 francs seront mis à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