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CR.2005.0057 vom 8. Juni 2006</w:t>
      </w:r>
    </w:p>
    <w:p>
      <w:r>
        <w:t>VD Tribunal cantonal, 2006-06-08, FR</w:t>
      </w:r>
    </w:p>
    <w:p>
      <w:r>
        <w:rPr>
          <w:b/>
        </w:rPr>
        <w:t xml:space="preserve">Quelle: </w:t>
      </w:r>
      <w:r>
        <w:t>https://mcp.opencaselaw.ch/entscheid/vd_omni_CR.2005.0057</w:t>
      </w:r>
    </w:p>
    <w:p>
      <w:r>
        <w:t>FR: VD_OMNI CR.2005.0057 du 8 juin 2006</w:t>
      </w:r>
    </w:p>
    <w:p>
      <w:r>
        <w:t>IT: VD_OMNI CR.2005.0057 del 8 giugno 2006</w:t>
      </w:r>
    </w:p>
    <w:p>
      <w:pPr>
        <w:pStyle w:val="Heading2"/>
      </w:pPr>
      <w:r>
        <w:t>Regeste</w:t>
      </w:r>
    </w:p>
    <w:p>
      <w:r>
        <w:t>X. /Service des automobiles et de la navigation | Le fait d'emprunter la bande d'arrêt d'urgence sur 450 mètres à 30 km/h pour remonter une file de véhicules circulant à 20 km/h lors des travaux dans le tunnel de Glion crée un risque peu important au vu de la vitesse limitée. S'agit-il d'un cas de peu de gravité ou d'un cas de gravité moyenne ? Question laissée ouverte car la mauvaise réputation du recourant en tant que conducteur ne permet pas de s'en tenir à un avertissement. Cependant, au vu de l'utilité professionnelle, la durée du retrait est ramenée à un mois.</w:t>
      </w:r>
    </w:p>
    <w:p>
      <w:pPr>
        <w:pStyle w:val="Heading2"/>
      </w:pPr>
      <w:r>
        <w:t>Erwägungen</w:t>
      </w:r>
    </w:p>
    <w:p>
      <w:r>
        <w:rPr>
          <w:b/>
        </w:rPr>
        <w:t>E. 1</w:t>
      </w:r>
    </w:p>
    <w:p>
      <w:r>
        <w:t>Les faits litigieux remontent au 3 juin 2004, soit avant l’entrée en vigueur des nouvelles dispositions légales au 1 er janvier 2005. C’est donc à juste titre que l’autorité intimée a appliqué l’ancien droit, en vigueur jusqu’au 31 décembre 2004.</w:t>
      </w:r>
    </w:p>
    <w:p>
      <w:r>
        <w:rPr>
          <w:b/>
        </w:rPr>
        <w:t>E. 2</w:t>
      </w:r>
    </w:p>
    <w:p>
      <w:r>
        <w:t>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w:t>
      </w:r>
    </w:p>
    <w:p>
      <w:r>
        <w:rPr>
          <w:b/>
        </w:rPr>
        <w:t>E. 3</w:t>
      </w:r>
    </w:p>
    <w:p>
      <w:r>
        <w:t>En l'espèce, les auteurs du rapport de police ont dénoncé le recourant pour avoir circulé plus de 450 mètres sur la bande d'arrêt d'urgence. De son côté, le recourant prétend qu'il n'a roulé que 100 à 150 mètres sur la bande d'arrêt d'urgence. Contrairement à leur habitude, les policiers ne se trouvaient pas sur la voie de sortie de l'autoroute au moment de l'interpellation, mais sur le pont enjambant la sortie d'autoroute de Villeneuve, à l'extérieur de leur véhicule. Ils avaient par conséquent une vue plongeante sur l'autoroute et ont pu observer tout le déroulement de la manoeuvre effectuée par le recourant : c'est ainsi qu'ils ont pu relever avec précision la distance parcourue par ce dernier (du km 41.250 au km 40.780, soit 470 mètres environ). Dans ces conditions, le tribunal juge qu'il n'y a pas lieu de mettre en doute les faits relevés dans le rapport de police et retient dès lors que le recourant a bien circulé plus de 450 mètres sur la bande d'arrêt d'urgence en remontant la file des véhicules.</w:t>
      </w:r>
    </w:p>
    <w:p>
      <w:r>
        <w:rPr>
          <w:b/>
        </w:rPr>
        <w:t>E. 4</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 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5</w:t>
      </w:r>
    </w:p>
    <w:p>
      <w:r>
        <w:t>En l'espèce, le recourant a violé la norme rappelée au considérant 2 ci-dessus dans la mesure décrite au considérant 3.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qu'aucun usager n'a été gêné par le recourant. Il suffit toutefois d'une mise en danger abstraite pour qu'une mesure soit prononcée. 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véhicule tomberait en état de détresse et où son conducteur serait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voir également CR.2002.0136 du 8 octobre 2002; CR.2002.0136 du 8 octobre 2002; CR.2002.0313 du 8 septembre 2003; CR.2005.0042 du 27 mars 2006 qui confirment un retrait de permis; un conducteur aux bons antécédents a encouru un avertissement pour n'avoir parcouru qu'une soixantaine de mètres sur la bande d'arrêt d'urgence puis réintégré la file en constatant que la sortie était encore loin, CR.2005.0136 du 3 mars 2006; v. encore CR.2004.0342 du 4 mai 2006). En l'espèce, le recourant a remonté sur une distance de 450 mètres, à une vitesse voisine de 30 km/h, une file de véhicules qui roulait à une allure de 20 km/h. On est loin de l'hypothèse du conducteur qui circulerait à vive allure sur la bande d'arrêt d'urgence pour devancer un flux de trafic dont le ralentissement ne serait qu'en cours de formation. A 20 km/h, l'hypothèse d'un véhicule en perdition qui devrait subitement quitter la file de droite de l'autoroute est finalement assez peu vraisemblable. Reste toutefois l'hypothèse où l'intervention de la police ou des véhicules sanitaires nécessiterait que les véhicules circulant normalement s'écartent sur la bande d'arrêt d'urgence. Le recourant a donc créé un risque, mais il n'est pas très important compte tenu de la vitesse limitée. Il n'est pas certain qu'on puisse admettre dans ces conditions l'existence d'une mise en danger de gravité moyenne. Or c'est celle-ci qui est déterminante pour apprécier la gravité de la faute car le comportement du recourant, illicite en soi, s'apprécie du point de vue de la faute en fonction de la conscience qu'il pouvait avoir de créer un danger. Il importe cependant peu que l'on admette que l'on se trouve dans un cas de peu de gravité ou dans un cas de gravité moyenne car selon l'art. 31 al. 2 OAC, le prononcé d'un avertissement n'est possible que si la réputation du contrevenant permet d'analyser l'ensemble des circonstances dans le sens d'un cas de peu de gravité. Tel n'est pas le cas du recourant qui s'est déjà manifesté à trois reprises et à deux ans d'intervalle chaque fois par des infractions qui ont entraîné le retrait de son permis de conduire, la dernière fois pour trois mois un peu plus d'une année avant l'infraction aujourd'hui litigieuse. C'est donc un retrait de permis qui doit être prononcé. Compte tenu toutefois de la nécessité professionnelle dont peut se prévaloir le recourant en tant que représentant de commerce, le tribunal juge qu'un retrait de permis s'en tenant au minimum légal d'un mois est adéquat et suffit à sanctionner l'infraction commise. La décision attaquée sera dès lors réformée en ce sens que la durée du retrait est ramenée à un mois.</w:t>
      </w:r>
    </w:p>
    <w:p>
      <w:r>
        <w:rPr>
          <w:b/>
        </w:rPr>
        <w:t>E. 6</w:t>
      </w:r>
    </w:p>
    <w:p>
      <w:r>
        <w:t>Les considérants qui précèdent conduisent à l’admission partielle du recours. Un émolument de justice réduit doit être mis à la charge du recourant qui, assisté d’un mandataire professionnel, a droit à des dépens partiels.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