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CR.2005.0038 vom 29. Dezember 2005</w:t>
      </w:r>
    </w:p>
    <w:p>
      <w:r>
        <w:t>VD Tribunal cantonal, 2005-12-29, FR</w:t>
      </w:r>
    </w:p>
    <w:p>
      <w:r>
        <w:rPr>
          <w:b/>
        </w:rPr>
        <w:t xml:space="preserve">Quelle: </w:t>
      </w:r>
      <w:r>
        <w:t>https://mcp.opencaselaw.ch/entscheid/vd_omni_CR.2005.0038</w:t>
      </w:r>
    </w:p>
    <w:p>
      <w:r>
        <w:t>FR: VD_OMNI CR.2005.0038 du 29 décembre 2005</w:t>
      </w:r>
    </w:p>
    <w:p>
      <w:r>
        <w:t>IT: VD_OMNI CR.2005.0038 del 29 dicembre 2005</w:t>
      </w:r>
    </w:p>
    <w:p>
      <w:pPr>
        <w:pStyle w:val="Heading2"/>
      </w:pPr>
      <w:r>
        <w:t>Regeste</w:t>
      </w:r>
    </w:p>
    <w:p>
      <w:r>
        <w:t>X. /Service des automobiles et de la navigation | Retrait du permis de circulation et des plaques justifié: le recourant n'a pas établi de nouvelle police d'assurance RC dans les 14 jours suivant l'échéance de sa précédente police (art. 7 al. 2 OAV, qui prévoit un retrait immédiat, l'emporte sur l'art. 108 al. 1 OAC qui oblige l'autorité à offrir au détenteur la possibilité de s'exprimer). Emolument de décision de 200 francs confirmé (art. 24 RE-SAN).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octobre 1998, le Tribunal administratif, saisi d'un recours dirigé contre la taxe prévue à l'art. 4 RESA, a jugé, au terme d'une analyse détaillée, que cet émolument respectait, conformément au droit fédéral, les deux principes dérivés du principe de la proportionnalité : celui de la couverture des frais, d'une part, et celui de l'équivalence, d'autre part (cf. Moor, Droit administratif, vol. III, no 7.2.4.3; arrêt confirmé dans FI.2004.0121 du 1 er mars 2005, cf. aussi ATF 106 Ia 241, consid. 3b), que le montant dû au titre d’émolument en application du tarif rappelé ci-dessus ne saurait dès lors être remis en cause, qu’il résulte de ce qui précède que, nonobstant les griefs du recourant sur de prétendus dysfonctionnements du service intimé à d’autres occasions, les décisions contestées étaient fondées et que les émoluments perçus étaient, partant, justifiés également.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