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CR.2004.0387 vom 4. Januar 2006</w:t>
      </w:r>
    </w:p>
    <w:p>
      <w:r>
        <w:t>VD Tribunal cantonal, 2006-01-04, FR</w:t>
      </w:r>
    </w:p>
    <w:p>
      <w:r>
        <w:rPr>
          <w:b/>
        </w:rPr>
        <w:t xml:space="preserve">Quelle: </w:t>
      </w:r>
      <w:r>
        <w:t>https://mcp.opencaselaw.ch/entscheid/vd_omni_CR.2004.0387</w:t>
      </w:r>
    </w:p>
    <w:p>
      <w:r>
        <w:t>FR: VD_OMNI CR.2004.0387 du 4 janvier 2006</w:t>
      </w:r>
    </w:p>
    <w:p>
      <w:r>
        <w:t>IT: VD_OMNI CR.2004.0387 del 4 gennaio 2006</w:t>
      </w:r>
    </w:p>
    <w:p>
      <w:pPr>
        <w:pStyle w:val="Heading2"/>
      </w:pPr>
      <w:r>
        <w:t>Regeste</w:t>
      </w:r>
    </w:p>
    <w:p>
      <w:r>
        <w:t>X. /Service des automobiles et de la navigation | Constitue un cas de très peu de gravité dans lequel l'autorité peut renoncer au prononcé de toute peine, le fait pour un motocycliste de piloter sur route sèche une moto dont seul le pneu arrière présente un profil insuffisant alors qu'il se rendait précisémment chez son garagiste pour faire changer le pneu usé. Annulation de la décision attaquée.</w:t>
      </w:r>
    </w:p>
    <w:p>
      <w:pPr>
        <w:pStyle w:val="Heading2"/>
      </w:pPr>
      <w:r>
        <w:t>Erwägungen</w:t>
      </w:r>
    </w:p>
    <w:p>
      <w:r>
        <w:rPr>
          <w:b/>
        </w:rPr>
        <w:t>E. 1</w:t>
      </w:r>
    </w:p>
    <w:p>
      <w:r>
        <w:t>Dans la décision attaquée et dans la réponse au recours, l’autorité intimée ne retient à l’encontre du recourant que l’usure excessive de son pneu arrière et non pas la violation de priorité (pourtant retenue par le juge pénal dans un jugement postérieur à la décision attaquée). Dans ces conditions, le tribunal de céans n’examinera que l’infraction concernant l’usure du pneu, seule litigieuse en l’espèce.</w:t>
      </w:r>
    </w:p>
    <w:p>
      <w:r>
        <w:rPr>
          <w:b/>
        </w:rPr>
        <w:t>E. 2</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w:t>
      </w:r>
    </w:p>
    <w:p>
      <w:r>
        <w:rPr>
          <w:b/>
        </w:rPr>
        <w:t>E. 3</w:t>
      </w:r>
    </w:p>
    <w:p>
      <w:r>
        <w:t>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58 al. 4 de l'ordonnance concernant les exigences techniques requises pour les véhicules routiers du 19 juin 1995 (ci-après OETV) prévoit que la toile des pneumatiques ne doit être ni abîmée ni apparente et que les pneumatiques doivent présenter un profil d'au moins 1,6 mm sur toute la surface de la bande de roulement En circulant au guidon d’une moto dont le pneu arrière présentait un profil inférieur à 1,6 mm et était même lisse sur le bord gauche, le recourant a violé les art. 29 LCR et 58 al. 4 OETV. Peu importe qu'en l'espèce l'usure excessive des pneus n'ait pas été à l'origine de l'accident dans lequel le recourant a été impliqué, dès lors qu'une mise en danger abstraite de la circulation suffit pour que l'art. 16 al. 2 LCR trouve application. La faute commise par le recourant réside dans le fait d'avoir circulé au guidon d'un véhicule dont le pneu arrière présentait un profil insuffisant sur une partie de sa largeur. Toutefois, il n'est pas le propriétaire du véhicule et il se rendait précisément chez le garagiste pour changer le pneu usé lorsqu’il a été interpellé. On ne se trouve donc pas en présence d'un conducteur qui aurait laissé se dégrader son véhicule et persisterait à circuler sans se soucier de son état. Le seul trajet qui peut être imputé au recourant, qui n'aurait certes pas dû conduire ce véhicule, tendait en définitive à faire cesser cet état. Au reste, il est notoire que sur un motocycle, c'est le pneu avant qui est déterminant pour assurer le freinage. Le fait que le pneu arrière ait une sculpture insuffisante constitue certes une irrégularité mais ne joue finalement guère de rôle si le trajet incriminé s'est déroulé comme en l'espèce sur une route sèche. En effet, il est notoire également que la sculpture des pneumatiques est surtout destinée à assurer l'évacuation de l'eau lorsque la chaussée est mouillée. Au vu des circonstances très particulières du cas présent, le tribunal considère que le cas constitue un cas de très peu de gravité dans lequel l’autorité peut renoncer au prononcé de toute mesure. En effet, selon la jurisprudence du Tribunal fédéral (ATF 105 Ib 255 - JT 1980 I 398 no 13), le caractère potestatif de l'art. 16 al. 2, 2 ème phrase LCR permet de renoncer à toute mesure dans les cas de particulièrement peu de gravité (assimilables aux cas bénéficiant de l'exemption facultative de toute peine de l'art. 100 ch. 1 al. 1 LCR). Au vu de ce qui précède, la décision attaquée est ainsi annulée et le recours admis sans frais pour le recourant qui a droit à des dépens à la charge du Service des automobiles.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