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CR.2004.0341 vom 16. Dezember 2005</w:t>
      </w:r>
    </w:p>
    <w:p>
      <w:r>
        <w:t>VD Tribunal cantonal, 2005-12-16, FR</w:t>
      </w:r>
    </w:p>
    <w:p>
      <w:r>
        <w:rPr>
          <w:b/>
        </w:rPr>
        <w:t xml:space="preserve">Quelle: </w:t>
      </w:r>
      <w:r>
        <w:t>https://mcp.opencaselaw.ch/entscheid/vd_omni_CR.2004.0341</w:t>
      </w:r>
    </w:p>
    <w:p>
      <w:r>
        <w:t>FR: VD_OMNI CR.2004.0341 du 16 décembre 2005</w:t>
      </w:r>
    </w:p>
    <w:p>
      <w:r>
        <w:t>IT: VD_OMNI CR.2004.0341 del 16 dicembre 2005</w:t>
      </w:r>
    </w:p>
    <w:p>
      <w:pPr>
        <w:pStyle w:val="Heading2"/>
      </w:pPr>
      <w:r>
        <w:t>Regeste</w:t>
      </w:r>
    </w:p>
    <w:p>
      <w:r>
        <w:t>X. /Service des automobiles et de la navigation | Le recourant n'ayant pas fourni le nom de l'auteur des deux excès de vitesse litigieux alors qu'il avait été invité à le faire et n'ayant pas contesté les décisions pénales, il y a lieu de retenir qu'il est bien l'auteur des deux infractions. Les deux excès de vitesse constituent chacun selon la jurisprudence un cas de moyenne gravité entraînant un retrait du permis. S'en tenant à la durée minimale d'un mois, le retrait ne peut qu'être confirmé.</w:t>
      </w:r>
    </w:p>
    <w:p>
      <w:pPr>
        <w:pStyle w:val="Heading2"/>
      </w:pPr>
      <w:r>
        <w:t>Erwägungen</w:t>
      </w:r>
    </w:p>
    <w:p>
      <w:r>
        <w:rPr>
          <w:b/>
        </w:rPr>
        <w:t>E. 1</w:t>
      </w:r>
    </w:p>
    <w:p>
      <w:r>
        <w:t>Le recourant soutient que l’autorité intimée n’a pas pu prouver qu’il était bien l’auteur des deux excès de vitesse litigieux.</w:t>
      </w:r>
    </w:p>
    <w:p>
      <w:r>
        <w:rPr>
          <w:b/>
        </w:rPr>
        <w:t>E. 2</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w:t>
      </w:r>
    </w:p>
    <w:p>
      <w:r>
        <w:rPr>
          <w:b/>
        </w:rPr>
        <w:t>E. 3</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 recourant a renoncé à contester les deux contraventions prononcées à son encontre par les autorités genevoises. Par ailleurs, les conditions permettant à l'autorité administrative de s'écarter de l'état de fait retenu dans la décision pénale ne sont pas réunies en l'espèce, puisque les photographies du radar versées au dossier (à supposer qu'elles aient été inconnues du juge pénal) ne permettent pas de discerner le conducteur si bien qu'il n'existe pas d'élément permettant de renverser le prononcé de culpabilité résultant de la décision pénale et de la présomption que le détenteur du véhicule incriminé est bien l’auteur de l’excès de vitesse.</w:t>
      </w:r>
    </w:p>
    <w:p>
      <w:r>
        <w:rPr>
          <w:b/>
        </w:rPr>
        <w:t>E. 4</w:t>
      </w:r>
    </w:p>
    <w:p>
      <w:r>
        <w:t>A cet égard, la jurisprudence a précisé que le conducteur d'un véhicule automobile ne saurait se voir infliger un avertissement ou un retrait de permis pour violation des règles de la circulation que s'il est établi à satisfaction de droit qu'il est bien l'auteur de cette infraction. Autrement dit, l'autorité ne peut prononcer ou confirmer sur recours une telle mesure que si elle a acquis la conviction que c'est bien l'intéressé lui-même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Appliqué par la jurisprudence en matière de responsabilité pénale (ATF 102 IV 258), ce principe doit valoir aussi bien en matière de mesures administratives prises contre un automobiliste. Sans doute, lorsque l'auteur d'une infraction constatée ne peut être identifié sur le champ, l'autorité peut-elle, dans un premier temps, partir de l'idée que le détenteur du véhicule en question en était aussi le conducteur au moment critique. Mais dès lors que cette version est contestée par l'intéressé, il appartient à l'autorité compétente pour prononcer une éventuelle mesure administrative d'intervenir immédiatement pour provoquer les explications de celui-ci, qui est alors tenu de les fournir dans toute la mesure où l'on peut raisonnablement les attendre de lui, et de prendre le cas échéant de sa propre initiative, en vertu de la maxime officielle qui régit ce type de procédure administrative, toutes mesures d'instruction propres à élucider cette question. Si l'intéressé se soustrait sans motifs valables à ce devoir de collaboration ou si la version des faits qu'il soutient apparaît d'emblée dénuée de toute vraisemblance, il appartiendra à l'autorité d'apprécier sur la base de l'ensemble des circonstances du cas si l'on peut néanmoins considérer comme suffisamment établi qu'il est l'auteur de l'infraction incriminée (ATF 105 Ib 114, consid. 1a, p. 116). En l’espèce, ce n’est qu’en date du 10 février 2005, soit près d’une année après la demande de l’autorité intimée du 10 mars 2004 l’invitant à indiquer les coordonnées de la personne responsable que le recourant a finalement indiqué qu’il prêtait parfois sa voiture à des amis, en affirmant toutefois qu’il n’avait jamais été mis en mesure (sic) de collaborer, ce qui est inexact. Il appartient à tout détenteur de bonne foi de fournir d’emblée toute explication utile à l’autorité, plutôt que de se lancer dans une longue procédure avec le concours de son conseil. Le recourant n’ayant pas fourni le nom de l’auteur des infractions litigieuses alors qu’il avait été invité à le faire et n’ayant pas contesté les décisions pénales, il y a donc lieu de retenir qu’il est bien l’auteur des deux excès de vitesse litigieux.</w:t>
      </w:r>
    </w:p>
    <w:p>
      <w:r>
        <w:rPr>
          <w:b/>
        </w:rPr>
        <w:t>E. 5</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6</w:t>
      </w:r>
    </w:p>
    <w:p>
      <w:r>
        <w:t>Selon la jurisprudence constante du Tribunal fédéral, un avertissement doit être prononcé dès que le dépassement de vitesse atteint 15 km/h (ATF 124 II 475 ; 123 II 106). Un dépassement de la vitesse maximale générale de 50 km/h dans les localités constitue objectivement, c'est-à-dire sans égard aux circonstances concrètes, un cas de moyenne gravité, qui, sauf circonstances particulières, doit entraîner un retrait du permis. Une sanction moins lourde, notamment un avertissement, n'entre en considération que s'il est établi que le conducteur avait des motifs sérieux de penser qu'il ne se trouvait plus dans une zone de limitation de vitesse ou en présence de circonstances analogues à celles qui justifient de renoncer à une peine en application de l'art. 66bis CP (ATF 126 II 196 ; 126 II 202). Lorsque la vitesse maximale autorisée hors des localités est dépassée de 26 à 29 km/h, il y a lieu d'admettre qu'il s'agit objectivement d'un cas de gravité moyenne, sans égard aux circonstances concrètes, entraînant un retrait du permis de conduire fondé sur l’art. 16. al. 2 LCR (ATF 124 II 259). En l'espèce, le recourant a commis un excès de vitesse de 21 km/h en localité et un excès de vitesse de 27 km/h hors des localités, ce qui constitue une violation de l'art. 27 al. 1 LCR. Selon la jurisprudence précitée, ces deux infractions constituent des cas de moyenne gravité qui entraînent le retrait du permis de conduire, le prononcé d’un avertissement étant exclu, aucune circonstances particulières n’étant réalisées en l’espèce. S’en tenant à la durée minimale d’un mois prévue par l’art. 17 al. 1 lit. a LCR, la décision attaquée ne peut qu’être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