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CR.2004.0317 vom 24. November 2005</w:t>
      </w:r>
    </w:p>
    <w:p>
      <w:r>
        <w:t>VD Tribunal cantonal, 2005-11-24, FR</w:t>
      </w:r>
    </w:p>
    <w:p>
      <w:r>
        <w:rPr>
          <w:b/>
        </w:rPr>
        <w:t xml:space="preserve">Quelle: </w:t>
      </w:r>
      <w:r>
        <w:t>https://mcp.opencaselaw.ch/entscheid/vd_omni_CR.2004.0317</w:t>
      </w:r>
    </w:p>
    <w:p>
      <w:r>
        <w:t>FR: VD_OMNI CR.2004.0317 du 24 novembre 2005</w:t>
      </w:r>
    </w:p>
    <w:p>
      <w:r>
        <w:t>IT: VD_OMNI CR.2004.0317 del 24 novembre 2005</w:t>
      </w:r>
    </w:p>
    <w:p>
      <w:pPr>
        <w:pStyle w:val="Heading2"/>
      </w:pPr>
      <w:r>
        <w:t>Regeste</w:t>
      </w:r>
    </w:p>
    <w:p>
      <w:r>
        <w:t>X. /Service des automobiles et de la navigation | Comme le juge pénal, le tribunal retient que le recourant a perdu la maîtrise dans un virage sur l'autoroute mouillée en raison d'une vitesse inadaptée aux conditions de la route. Cas moyennemant grave entraînant un retrait d'un mois. Rejet du recours.</w:t>
      </w:r>
    </w:p>
    <w:p>
      <w:pPr>
        <w:pStyle w:val="Heading2"/>
      </w:pPr>
      <w:r>
        <w:t>Erwägungen</w:t>
      </w:r>
    </w:p>
    <w:p>
      <w:r>
        <w:rPr>
          <w:b/>
        </w:rPr>
        <w:t>E. 1</w:t>
      </w:r>
    </w:p>
    <w:p>
      <w:r>
        <w:t>En vertu de l'art. 45 al. 1, 1ère phrase OAC, l'usage d'un permis étranger peut être interdit en vertu des dispositions qui s'appliquent au retrait de permis de conduire suisse.</w:t>
      </w:r>
    </w:p>
    <w:p>
      <w:r>
        <w:rPr>
          <w:b/>
        </w:rPr>
        <w:t>E. 2</w:t>
      </w:r>
    </w:p>
    <w:p>
      <w:r>
        <w:t>Les faits s'étant déroulés le 6 mars 2004, ce sont les dispositions de la loi sur la ciruculation routière en vigueur jusqu'au 31 décembre 2004 qui sont applicables, à l'exclusion des nouvelles règles entrées en vigueur le 1 er janvier 2005.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w:t>
      </w:r>
    </w:p>
    <w:p>
      <w:r>
        <w:rPr>
          <w:b/>
        </w:rPr>
        <w:t>E. 3</w:t>
      </w:r>
    </w:p>
    <w:p>
      <w:r>
        <w:t>En l'espèce, le recourant ne conteste pas la perte de maîtrise, mais il soutient que l'éclatement de son pneu avant droit en est la cause et non pas une vitesse excessive. Selon la jurisprudence du Tribunal fédéral, l'autorité administrative, statuant sur un retrait de permis, doit prendre en considération tous les faits constants. En présence d'un jugement pénal, elle doit également se référer aux constatations de fait établies par la procédure pénale, pour autant qu'elles soient significatives pour le retrait du permis, sans cependant qu'elle soit d'emblée liée par ces constatations. Si cependant la condamnation résulte d'un jugement qui a été prononcé dans le cadre d'une procédure pénale ordinaire comportant des débats publics avec audition des parties et de témoins, il apparaît alors justifié, en raison des garanties de procédure sur lesquelles ce jugement pénal repose, et aussi parce que le juge pénal est plus proche des circonstances locales et temporelles de l'événement, que l'autorité administrative fasse preuve de retenue par rapport à l'état de fait établi par le juge pénal. Dans ce cas, l'autorité administrative pourra le plus souvent se baser sur les constatations de fait retenues par le juge pénal, à moins qu'il n'y ait de clairs indices que cet état de fait comporte des inexactitudes. Dans ce dernier cas, l'autorité administrative doit, si nécessaire, procéder à l'administration des preuves de manière indépendante. S'agissant de se prononcer sur l'existence d'une infraction, l'autorité administrative ne doit pas s'écarter sans raison sérieuse des constatations de fait du juge pénal ainsi que de ses appréciations juridiques qui dépendent fortement de l'établissement des faits (ATF 106 Ib 398 consid. 2, 105 Ib 19 consid. 1a, 104 Ib 359 consid. 1, 362 ss. consid. 3). L'autorité administrative ne peut s'écarter du jugement pénal rendu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204 consid. 1, 105 Ib 19 consid. 1a). En outre, l'autorité administrative ne saurait substituer sa propre appréciation à celle du juge pénal sans se convaincre que cette dernière est clairement fausse (ATF non publié, du 21 novembre 1991, en la cause Fehr). En l'espèce, le préfet a retenu que le recourant avait perdu la maîtrise de sa voiture en raison d’une vitesse inadaptée (et non pas excessive). Le dossier ne contient aucun élément qui indiquerait que la perte de maîtrise soit, comme le soutient le recourant, due à l’éclatement d’un pneu. En effet, le rapport de police précise que les quatre pneus de la voiture du recourant étaient en ordre ; par ailleurs, ce dernier a déclaré aux policiers qu’il avait glissé sur la chaussée mouillée et n’a pas parlé de l’éclatement d’un pneu. Dans ces conditions, l’appréciation à laquelle s’est livré le juge pénal ne se heurte en aucun cas aux faits constatés. Au contraire, il semble bien que la vitesse inadaptée aux conditions de la route (virage à gauche et chaussée mouillée) soit la seule cause de la perte de maîtrise. Par conséquent, comme le juge pénal, le tribunal retient que le recourant a perdu la maîtrise de sa voiture dans un virage sur l’autoroute en raison d’une vitesse inadaptée aux conditions de la route. Ce faisant, le recourant a violé les art. 31 al. 1 LCR et 32 al. 1 LCR qui prévoient que le conducteur devra rester constamment maître de son véhicule de façon à pouvoir se conformer aux devoirs de la prudence et que la vitesse doit toujours être adaptée aux circonstances, notamment aux conditions de la route, de la circulation et de la visibilité.</w:t>
      </w:r>
    </w:p>
    <w:p>
      <w:r>
        <w:rPr>
          <w:b/>
        </w:rPr>
        <w:t>E. 4</w:t>
      </w:r>
    </w:p>
    <w:p>
      <w:r>
        <w:t>Compte tenu de la chaussée mouillée, de la densité du trafic et du virage qu’il négociait sur une autoroute, le recourant se devait de faire preuve d'une prudence accrue et ralentir son allure, même s’il ne dépassait pas la vitesse maximale autorisée de 80 km/h : en effet, une vitesse de 80 km/h dans un virage sur l’autoroute s'avère inadaptée lorsque les conditions de la route ou de la circulation ne sont pas optimales. Il est en effet notoire que les risques de dérapages sont élevés lorsque l’on circule dans un virage sur chaussée humide ou mouillée à une vitesse soutenue. La recourante se devait donc de ralentir afin de rouler à une vitesse lui permettant de ne pas déraper sur la chaussée mouillée.</w:t>
      </w:r>
    </w:p>
    <w:p>
      <w:r>
        <w:rPr>
          <w:b/>
        </w:rPr>
        <w:t>E. 5</w:t>
      </w:r>
    </w:p>
    <w:p>
      <w:r>
        <w:t>On ne peut donc pas considérer la faute de circulation du recourant comme une faute bénigne ni, surtout, compte tenu de l'accident subséquent qu'il a provoqué, nier qu'il ait concrètement et gravement mis en danger la sécurité routière, même si il n'a heureusement engendré que des dommages matériels. Cette embardée constituait une source importante de danger pour les autres usagers et aurait pu avoir des conséquences bien plus graves. Dans ces conditions, la faute du recourant doit être qualifiée de faute de moyenne gravité. L'avertissement est donc exclu. En présence d'un cas de moyenne gravité, l'autorité a eu raison de faire usage de la faculté prévue par l'art. 16 al. 2 LCR de retirer le permis de conduire.</w:t>
      </w:r>
    </w:p>
    <w:p>
      <w:r>
        <w:rPr>
          <w:b/>
        </w:rPr>
        <w:t>E. 6</w:t>
      </w:r>
    </w:p>
    <w:p>
      <w:r>
        <w:t>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Elle sera d'un mois minimum (art. 17 al. 1 lettre a LCR). Ordonnée pour la durée minimale prévue par l'art. 17 al. 1 lettre a LCR, la mesure attaquée ne peut être que confirmée et le recours rejeté; il devrait l'être aux frais du recourant, mais au vu de la situation financière précaire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