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CR.2004.0292 vom 7. Februar 2005</w:t>
      </w:r>
    </w:p>
    <w:p>
      <w:r>
        <w:t>VD Tribunal cantonal, 2005-02-07, FR</w:t>
      </w:r>
    </w:p>
    <w:p>
      <w:r>
        <w:rPr>
          <w:b/>
        </w:rPr>
        <w:t xml:space="preserve">Quelle: </w:t>
      </w:r>
      <w:r>
        <w:t>https://mcp.opencaselaw.ch/entscheid/vd_omni_CR.2004.0292</w:t>
      </w:r>
    </w:p>
    <w:p>
      <w:r>
        <w:t>FR: VD_OMNI CR.2004.0292 du 7 février 2005</w:t>
      </w:r>
    </w:p>
    <w:p>
      <w:r>
        <w:t>IT: VD_OMNI CR.2004.0292 del 7 febbraio 2005</w:t>
      </w:r>
    </w:p>
    <w:p>
      <w:pPr>
        <w:pStyle w:val="Heading2"/>
      </w:pPr>
      <w:r>
        <w:t>Regeste</w:t>
      </w:r>
    </w:p>
    <w:p>
      <w:r>
        <w:t>X. /Service des automobiles et de la navigation | Confirmation du retrait préventif ordonné à l'encontre d'un conducteur ayant commis deux ivresses au volant (1,18 o/oo et 1,6 o/oo) en 23 mois.</w:t>
      </w:r>
    </w:p>
    <w:p>
      <w:pPr>
        <w:pStyle w:val="Heading2"/>
      </w:pPr>
      <w:r>
        <w:t>Erwägungen</w:t>
      </w:r>
    </w:p>
    <w:p>
      <w:r>
        <w:rPr>
          <w:b/>
        </w:rPr>
        <w:t>E. 1</w:t>
      </w:r>
    </w:p>
    <w:p>
      <w:r>
        <w:t>Déposé dans le délai de vingt jours fixé par l'art. 31 al. 1 de la loi cantonale du 18 décembre 1989 sur la juridiction et la procédure administratives, le recours est intervenu en temps utile. Il est au surplus recevable en la forme.</w:t>
      </w:r>
    </w:p>
    <w:p>
      <w:r>
        <w:rPr>
          <w:b/>
        </w:rPr>
        <w:t>E. 2</w:t>
      </w:r>
    </w:p>
    <w:p>
      <w:r>
        <w:t>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w:t>
      </w:r>
    </w:p>
    <w:p>
      <w:r>
        <w:rPr>
          <w:b/>
        </w:rPr>
        <w:t>E. 3</w:t>
      </w:r>
    </w:p>
    <w:p>
      <w:r>
        <w:t>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 En l'espèce, le recourant a conduit deux fois sous l'influence de l'alcool en l'espace de moins de deux ans. Même si le cas ne correspond pas en tous points avec les hypothèses dans lesquelles le Tribunal fédéral admet d'emblée l'existence d'un soupçon concret et important d'alcoolodépendance (une ivresse de 2,5 gr o/oo ou deux ivresses de 1,6 gr o/oo commises en cinq ans), on se trouve dans une situation comparable puisque c'est la deuxième fois en l'espace de 23 mois que le recourant est interpellé pour ivresse au volant avec un taux d'alcoolémie respectivement de 1,18 gr o/oo et 1,61 gr o/oo au minimum. En définitive, on constate que, depuis la restitution de son permis de conduire en 2002, le recourant n'est guère resté plus de deux ans en possession de son permis sans récidiver. Certes, l'obligation de se soumettre à une expertise médicale en cas de soupçon d'alcoolisme porte atteinte à la sphère personnelle, mais le tribunal considère que les antécédents du recourant, la proximité dans le temps des deux cas d'ivresse au volant et les taux d'alcoolémie constatés sont des indices suffisamment importants pour justifier un examen destiné à éclaircir le soupçon d'alcoolisme qui pèse sur le recourant. Il y a donc lieu de confirmer la décision attaquée en tant qu'elle ordonne une expertise médicale auprès d'un institut spécialisé comme l'UMTR afin de lever ou de confirmer ces doutes.</w:t>
      </w:r>
    </w:p>
    <w:p>
      <w:r>
        <w:rPr>
          <w:b/>
        </w:rPr>
        <w:t>E. 4</w:t>
      </w:r>
    </w:p>
    <w:p>
      <w:r>
        <w:t>S'agissant du principe même du retrait de permis, il s'agit de procéder à une pesée d'intérêt entre l'intérêt général à ne pas laisser dans la circulation un conducteur suspect d'alcoolisme et l'intérêt privé du recourant (ATF 6A.69/2002 du 2 novembre 2002). A cet égard, le Tribunal constate que l'intérêt privé du recourant à pouvoir conserver son permis de conduire pour préserver son avenir professionnel est fortement limité, puisqu'il devra de toute manière faire l'objet d'un retrait du permis de longue durée, que ce soit à titre d'admonestation (retrait d'un an au moins pour récidive d'ivresse en application de l'art. 17 al. 1 lit. d LCR) ou à titre de sécurité (retrait de durée indéterminée avec délai d'épreuve d'un an en application de l'art. 17 al. 1bis LCR). L'intérêt public à la sauvegarde de la sécurité routière l'emporte donc en l'espèce. Aussi convient-il de confirmer également le retrait préventif du permis de conduire, jusqu'à ce que l'expertise requise ait levé ou confirmé les doutes que suscite le comportement du recourant.</w:t>
      </w:r>
    </w:p>
    <w:p>
      <w:r>
        <w:rPr>
          <w:b/>
        </w:rPr>
        <w:t>E. 5</w:t>
      </w:r>
    </w:p>
    <w:p>
      <w:r>
        <w:t>Au vu de ce qui précède, la décision attaquée doit être maintenue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