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CR.2004.0255 vom 8. Dezember 2004</w:t>
      </w:r>
    </w:p>
    <w:p>
      <w:r>
        <w:t>VD Tribunal cantonal, 2004-12-08, FR</w:t>
      </w:r>
    </w:p>
    <w:p>
      <w:r>
        <w:rPr>
          <w:b/>
        </w:rPr>
        <w:t xml:space="preserve">Quelle: </w:t>
      </w:r>
      <w:r>
        <w:t>https://mcp.opencaselaw.ch/entscheid/vd_omni_CR.2004.0255</w:t>
      </w:r>
    </w:p>
    <w:p>
      <w:r>
        <w:t>FR: VD_OMNI CR.2004.0255 du 8 décembre 2004</w:t>
      </w:r>
    </w:p>
    <w:p>
      <w:r>
        <w:t>IT: VD_OMNI CR.2004.0255 del 8 dicembre 2004</w:t>
      </w:r>
    </w:p>
    <w:p>
      <w:pPr>
        <w:pStyle w:val="Heading2"/>
      </w:pPr>
      <w:r>
        <w:t>Regeste</w:t>
      </w:r>
    </w:p>
    <w:p>
      <w:r>
        <w:t>X.____/Service des automobiles et de la navigation | Confirmation d'un retrait préventif et d'une expertise auprès de l'UMTR à l'encontre d'un conducteur qui a conduit 2 fois sous l'influence de l'alcool en 8 mois, avec un taux d'alcoolémie de 1,51 gr.o/oo, respectivement de 1,81 gr. o/oo, car son cas peut être sans autres assimilé à celui, visé dans la jurisprudence, du conducteur qui conduit 2 fois en 5 ans avec un taux d'alcoolémie de 1,6 gr.o/oo.</w:t>
      </w:r>
    </w:p>
    <w:p>
      <w:pPr>
        <w:pStyle w:val="Heading2"/>
      </w:pPr>
      <w:r>
        <w:t>Erwägungen</w:t>
      </w:r>
    </w:p>
    <w:p>
      <w:r>
        <w:rPr>
          <w:b/>
        </w:rPr>
        <w:t>E. 1</w:t>
      </w:r>
    </w:p>
    <w:p>
      <w:r>
        <w:t>A teneur de l'art. 17 al. 1 bis première phrase LCR, le permis de conduire doit être retiré pour une durée indéterminée si le conducteur n'est pas apte à conduire un véhicule automobile, soit pour cause d'alcoolisme ou d'autres formes de toxicomanie, soit pour des raisons d'ordre caractériel, soit pour d'autres motifs. L'art. 23 al. 1 in fine LCR prévoit qu'en règle générale, l'autorité entendra l'intéressé avant de lui retirer son permis de conduire ou de le soumettre à une interdiction de circuler. Toutefois, aux termes de l'art. 35 al. 3 OAC, le permis de conduire peut être retiré immédiatement, à titre préventif, jusqu'à ce que les motifs d'exclusion aient été élucidés. Malgré le silence de l'art. 35 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w:t>
      </w:r>
    </w:p>
    <w:p>
      <w:r>
        <w:rPr>
          <w:b/>
        </w:rPr>
        <w:t>E. 2</w:t>
      </w:r>
    </w:p>
    <w:p>
      <w:r>
        <w:t>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Selon la jurisprudence du Tribunal fédéral, un examen de l'aptitude à conduire doit être ordonné lorsqu'un conducteur a circulé avec un taux d'alcoolémie de 2,5 gr.‰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existe un soupçon concret et important d'alcoolodépendance lorsqu'un conducteur conduit deux fois en état d'ivresse en l'espace de cinq ans avec un taux d'alcoolémie de 1,6 gr.‰ au minimum (ATF 126 II 361).</w:t>
      </w:r>
    </w:p>
    <w:p>
      <w:r>
        <w:rPr>
          <w:b/>
        </w:rPr>
        <w:t>E. 3</w:t>
      </w:r>
    </w:p>
    <w:p>
      <w:r>
        <w:t>En l'espèce, le recourant a conduit deux fois sous l'influence de l'alcool en l'espace de huit mois seulement, avec un taux d’alcoolémie moyen de 1,51 gr. ‰, respectivement 1,81 gr. ‰. Au vu de la grande proximité dans le temps des deux ivresses au volant, on peut sans autres assimiler le cas du recourant à celui, visé dans la jurisprudence, du conducteur qui conduit deux fois en cinq ans avec un taux d'alcoolémie de 1,6 gr. ‰. Conformément à la jurisprudence, il y a donc bien lieu de procéder à une expertise afin de contrôler l’aptitude du recourant à la conduite automobile en raison du soupçon d’alcoolisme qui pèse sur lui. Par conséquent, le recourant doit être retiré de la circulation routière jusqu’à ce que les doutes sur son aptitude à conduire soient élucidés en raison du danger potentiel qu’il peut représenter pour les autres usagers de la route. Le retrait de son permis à titre préventif, l’interdiction de conduire les véhicules des catégories spéciales et l’expertise auprès de l’UMTR doivent dès lors être confirmés.</w:t>
      </w:r>
    </w:p>
    <w:p>
      <w:r>
        <w:rPr>
          <w:b/>
        </w:rPr>
        <w:t>E. 4</w:t>
      </w:r>
    </w:p>
    <w:p>
      <w:r>
        <w:t>La décision attaquée est ainsi maintenue et le recours rejeté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