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CR.2004.0241 vom 8. November 2005</w:t>
      </w:r>
    </w:p>
    <w:p>
      <w:r>
        <w:t>VD Tribunal cantonal, 2005-11-08, FR</w:t>
      </w:r>
    </w:p>
    <w:p>
      <w:r>
        <w:rPr>
          <w:b/>
        </w:rPr>
        <w:t xml:space="preserve">Quelle: </w:t>
      </w:r>
      <w:r>
        <w:t>https://mcp.opencaselaw.ch/entscheid/vd_omni_CR.2004.0241</w:t>
      </w:r>
    </w:p>
    <w:p>
      <w:r>
        <w:t>FR: VD_OMNI CR.2004.0241 du 8 novembre 2005</w:t>
      </w:r>
    </w:p>
    <w:p>
      <w:r>
        <w:t>IT: VD_OMNI CR.2004.0241 del 8 novembre 2005</w:t>
      </w:r>
    </w:p>
    <w:p>
      <w:pPr>
        <w:pStyle w:val="Heading2"/>
      </w:pPr>
      <w:r>
        <w:t>Regeste</w:t>
      </w:r>
    </w:p>
    <w:p>
      <w:r>
        <w:t>X. /Service des automobiles et de la navigation | En fixant à 5 mois la durée du retrait infligé à un conducteur coupable d'une ivresse au volant (alcoolémie de 1,66 gr.o/oo), l'autorité intimée n'a pas suffisamment tenu compte du critère de l'utilité professionnelle dont peut se prévaloir le recourant en tant que vendeur-représentant, malgré une précédente ivresse au volant 6 ans et demi auparavant. Durée du retrait ramenée à 4 mois. Recours admis.</w:t>
      </w:r>
    </w:p>
    <w:p>
      <w:pPr>
        <w:pStyle w:val="Heading2"/>
      </w:pPr>
      <w:r>
        <w:t>Erwägungen</w:t>
      </w:r>
    </w:p>
    <w:p>
      <w:r>
        <w:rPr>
          <w:b/>
        </w:rPr>
        <w:t>E. 1</w:t>
      </w:r>
    </w:p>
    <w:p>
      <w:r>
        <w:t>Le recourant ne conteste pas, à juste titre d’ailleurs, le principe du retrait de permis prononcé à son encontre. Il demande que la durée de ce retrait soit réduite pour des motifs professionnels.</w:t>
      </w:r>
    </w:p>
    <w:p>
      <w:r>
        <w:rPr>
          <w:b/>
        </w:rPr>
        <w:t>E. 2</w:t>
      </w:r>
    </w:p>
    <w:p>
      <w:r>
        <w:t>L’infraction litigieuse a été commise avant l’entrée en vigueur du nouveau droit le 1 er janvier 2005, de sorte que c’est l’ancien droit de la circulation routière qui est applicable en l’espèce. 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Lorsque le taux d'alcoolémie dépasse 1 gr.‰, le Tribunal administratif considère, de manière générale, qu'il se justifie de prononcer un retrait de permis d'une durée supérieure au minimum légal de deux mois. Lorsque le taux d'alcoolémie dépasse 2 gr. ‰, le tribunal a jugé que le Service des automobiles n'abusait pas de son pouvoir d'appréciation en prononçant un retrait de permis d'une durée de l'ordre de six mois (CR 1993/0151; CR 1993/0091; CR 1992/0035; CR 1991/0111 et références citées).</w:t>
      </w:r>
    </w:p>
    <w:p>
      <w:r>
        <w:rPr>
          <w:b/>
        </w:rPr>
        <w:t>E. 3</w:t>
      </w:r>
    </w:p>
    <w:p>
      <w:r>
        <w:t>En l'espèce, le taux d'alcoolémie constaté s'élève à 1,66 gr. ‰ au minimum. Il s’agit d’une ivresse importante (le double du taux limite) qui entraîne en général à elle seule un retrait d’une durée s’écartant sensiblement du minimum de deux mois. Par ailleurs, la réputation du recourant comme conducteur n’est pas sans tache, puisqu’il a fait l’objet d’un précédent retrait de trois mois pour ivresse au volant en 1997, six ans avant la nouvelle ivresse au volant. A ces éléments défavorables, il faut toutefois opposer en faveur du recourant le fait qu’il n’a pas commis d’autre infraction que l’ivresse au volant, mais surtout l’importante utilité professionnelle que revêt pour lui la possession de son permis de conduire en tant que vendeur-représentant amené à se déplacer entre Genève et Lausanne avec ses produits. Privé de son permis de conduire, il est très vraisemblable que le recourant risque de perdre son emploi ; on ne se trouve pas loin d’une véritable nécessité professionnelle du permis de conduire.</w:t>
      </w:r>
    </w:p>
    <w:p>
      <w:r>
        <w:rPr>
          <w:b/>
        </w:rPr>
        <w:t>E. 4</w:t>
      </w:r>
    </w:p>
    <w:p>
      <w:r>
        <w:t>Dans ces conditions, le tribunal considère que l’autorité intimée n’a pas suffisamment tenu compte du critère de l’utilité professionnelle et que la durée de cinq mois apparaît ainsi disproportionnée. Comme dans l’arrêt CR.2004.0207 concernant un cas très proche du cas présent, un retrait du permis de conduire d’une durée de quatre mois est adéquate en l’espèce. La décision attaquée sera dès lors réformée en ce sens que la durée du retrait est ramenée à quatre mois.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