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CR.2004.0160 vom 27. August 2004</w:t>
      </w:r>
    </w:p>
    <w:p>
      <w:r>
        <w:t>VD Tribunal cantonal, 2004-08-27, FR</w:t>
      </w:r>
    </w:p>
    <w:p>
      <w:r>
        <w:rPr>
          <w:b/>
        </w:rPr>
        <w:t xml:space="preserve">Quelle: </w:t>
      </w:r>
      <w:r>
        <w:t>https://mcp.opencaselaw.ch/entscheid/vd_omni_CR.2004.0160</w:t>
      </w:r>
    </w:p>
    <w:p>
      <w:r>
        <w:t>FR: VD_OMNI CR.2004.0160 du 27 août 2004</w:t>
      </w:r>
    </w:p>
    <w:p>
      <w:r>
        <w:t>IT: VD_OMNI CR.2004.0160 del 27 agosto 2004</w:t>
      </w:r>
    </w:p>
    <w:p>
      <w:pPr>
        <w:pStyle w:val="Heading2"/>
      </w:pPr>
      <w:r>
        <w:t>Regeste</w:t>
      </w:r>
    </w:p>
    <w:p>
      <w:r>
        <w:t>c/SA | Retrait d'un mois confirmé à l'encontre d'un conducteur qui, inattentif, franchit un signal lumineux en phase rouge depuis 7 secondes et doit freiner pour éviter d'entrer en collision avec un véhicule venant en sens inverse et coupant sa trajectoire pour bifurquer normalement à gauche.</w:t>
      </w:r>
    </w:p>
    <w:p>
      <w:pPr>
        <w:pStyle w:val="Heading2"/>
      </w:pPr>
      <w:r>
        <w:t>Erwägungen</w:t>
      </w:r>
    </w:p>
    <w:p>
      <w:r>
        <w:rPr>
          <w:b/>
        </w:rPr>
        <w:t>E. 18</w:t>
      </w:r>
    </w:p>
    <w:p>
      <w:r>
        <w:t>décembre 1989 sur la juridiction et la procédure administratives (LJPA). Il y a donc lieu d'entrer en matière. 2.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103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 en tant que conducteur, le prononcé d'un simple avertissement n'est pas exclu même si l'atteinte à la sécurité de la route a été grave (ATF 125 II 561). Selon la jurisprudence du tribunal de céans, brûler un feu rouge par négligence, alors qu'un autre usager au bénéfice de la phase verte se trouve engagé sur la chaussée, mais sans qu'il y ait eu d'accident, justifie un retrait de permis, nonobstant la bonne réputation du conducteur (v. arrêt CR 2000/0107 du 26 septembre 2000). 3.                     Selon l'art. 27 al. 1 première phrase LCR, chacun se conformera aux signaux et aux marques ainsi qu'aux ordres de la police. Le feu rouge signifie "Arrêt" (art. 68 al. 1 OSR). Le conducteur devra rester constamment maître de son véhicule de façon à pouvoir se conformer aux devoirs de la prudence (art. 31 al. 1 LCR). Il vouera son attention à la route et à la circulation (art. 3 al. 1, 1ère phrase, OCR). En l'espèce, X.________ ne conteste pas avoir franchi un feu de signalisation alors qu'il était en phase rouge. Il a expliqué qu'il n'y avait toutefois pas eu de mise en danger, puisqu'il avait vu le véhicule qui se trouvait sur sa voie et avait freiné en conséquence, laissant ainsi une distance suffisante à ce conducteur pour lui permettre de tourner sans modifier sa trajectoire. Les deux photographies successives montrent effectivement qu'il était déjà en train de freiner au moment du franchissement de la ligne d'arrêt et qu'il continuait à le faire alors que le véhicule circulant en sens inverse venait de couper sa trajectoire pour s'engager dans le chemin de la Plage. La seconde révèle également qu'à ce moment, soit juste avant de franchir l'intersection, le recourant roulait encore à 19 km/h. Ceci tend à démontrer qu'il n'a freiné que parce qu'un véhicule s'est trouvé sur sa route et qu'il a fait preuve d'une grave inattention en ne remarquant pas le feu dont la phase rouge était pourtant enclenchée depuis près de 8 secondes. Que la collision ait heureusement été évitée n'empêche pas qu'il y a bel et bien eu mise en danger concrète du trafic. En outre, le fait que le recourant ait pu être induit en erreur par le feu qui était vert pour la voie de présélection parallèle, permettant de tourner à gauche, ne constitue pas une explication satisfaisante : le marquage des voies de présélection et la signalisation lumineuse qui s'y rapporte sont, en l'occurrence, particulièrement clairs, de sorte qu'un conducteur normalement attentif ne saurait être induit en erreur. Le recourant a ainsi commis, à tout le moins, une faute de gravité moyenne, pour laquelle le Service des automobiles devait faire usage de sa faculté de retirer le permis de conduire. 4.                     Aux termes de l'art. 17 al. 1 lit. a LCR, l'autorité qui retire un permis de conduire fixera selon les circonstances la durée de ce retrait; cependant elle sera d'un mois minimum. Ordonné pour la durée minimale prévue par cette disposition, le retrait de permis ne peut qu'être confirmé. 5.                     Conformément aux art. 38 et 55 LJPA, il convient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