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CR.2004.0117 vom 11. Juli 2005</w:t>
      </w:r>
    </w:p>
    <w:p>
      <w:r>
        <w:t>VD Tribunal cantonal, 2005-07-11, FR</w:t>
      </w:r>
    </w:p>
    <w:p>
      <w:r>
        <w:rPr>
          <w:b/>
        </w:rPr>
        <w:t xml:space="preserve">Quelle: </w:t>
      </w:r>
      <w:r>
        <w:t>https://mcp.opencaselaw.ch/entscheid/vd_omni_CR.2004.0117</w:t>
      </w:r>
    </w:p>
    <w:p>
      <w:r>
        <w:t>FR: VD_OMNI CR.2004.0117 du 11 juillet 2005</w:t>
      </w:r>
    </w:p>
    <w:p>
      <w:r>
        <w:t>IT: VD_OMNI CR.2004.0117 del 11 luglio 2005</w:t>
      </w:r>
    </w:p>
    <w:p>
      <w:pPr>
        <w:pStyle w:val="Heading2"/>
      </w:pPr>
      <w:r>
        <w:t>Regeste</w:t>
      </w:r>
    </w:p>
    <w:p>
      <w:r>
        <w:t>X. c/Service des automobiles et de la navigation | Confirmation d'un retrait d'un mois pour un excès de vitesse de 16 km/h en localité commis moins de deux ans après un précédent retrait, lui-même précédé d'un avertissement prononcé quelques années auparavant, tous pour excès de viteses. Les mauvais antécédents du recourant ne permettent pas de considérer le cas comme un cas de peu de gravité. Question de savoir si le fait d'avoir commis une nouvelle infraction dans les deux ans suivant l'échéance d'un précédent retrait empêche de considérer le cas comme de peu de gravité laissée ouverte.</w:t>
      </w:r>
    </w:p>
    <w:p>
      <w:pPr>
        <w:pStyle w:val="Heading2"/>
      </w:pPr>
      <w:r>
        <w:t>Erwägungen</w:t>
      </w:r>
    </w:p>
    <w:p>
      <w:r>
        <w:rPr>
          <w:b/>
        </w:rPr>
        <w:t>E. 1</w:t>
      </w:r>
    </w:p>
    <w:p>
      <w:r>
        <w:t>de la loi vaudoise du 18 décembre 1989 sur la juridiction et la procédure administrative (ci-après: LJPA), le recours est intervenu en temps utile. Il est au surplus recevable en la forme.</w:t>
      </w:r>
    </w:p>
    <w:p>
      <w:r>
        <w:rPr>
          <w:b/>
        </w:rPr>
        <w:t>E. 2</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En outre, un retrait de permis obligatoire au sens de l'art. 16 al. 3 lit. a LCR présuppose, outre une mise en danger grave, la commission d'une faute grave (ATF 105 Ib 118, JT 1979 I 404).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3</w:t>
      </w:r>
    </w:p>
    <w:p>
      <w:r>
        <w:t>Selon la jurisprudence du Tribunal fédéral, un dépassement à partir de 15 km/h de la vitesse maximum autorisée appelle un simple avertissement, tandis qu'au-delà de 30 km/h, il doit entraîner un retrait de permis, même si les conditions de circulation sont favorables et les antécédents bons (ATF 119 I b 156; 118 IV 190 c. b; 113 I b 146 c. c; 108 I b 67 c. 1). En outre, lorsque la limite des 30 km/h de dépassement n'est excédée que de peu, il faut procéder à un examen des circonstances concrètes pour déterminer si le conducteur a compromis gravement la sécurité au sens de l'art. 16 al. 3 lit. a LCR; a contrario, il n'y a pas de raison d'en douter lorsque le seuil des 30 km/h est largement dépassé (ATF 119 I b 156; 118 IV 190). On peut résumer cette jurisprudence en considérant que les excès de vitesse peuvent être classés en quatre catégories (v. par ex. SJ 1995 p. 420-421, repris par le TA dans CR 95/042 du 11 août 1995): - jusqu'à 15 km/h de dépassement de la vitesse autorisée, ils ne font en principe pas l'objet de mesures administratives; - de 15 à 30 km/h de dépassement, ils peuvent être considérés comme de peu de gravité, au sens de l'art. 16 al. 2 in fine LCR, et ne faire l'objet que d'un simple avertissement, à moins que les circonstances, notamment les antécédents du conducteur, ne justifient un retrait du permis de conduire. Le Tribunal fédéral a cependant jugé qu'à l'intérieur d'une localité, un excès de vitesse de 25 km/h constitue une mise en danger grave des autres usagers de la route justifiant un retrait obligatoire du permis de conduire (ATF 123 II 37), tandis qu'un excès de vitesse de 21 à 24 km/h constitue un cas de moyenne gravité entraînant en principe un retrait de permis (ATF 124 II 97). - à 30 km/h de dépassement ou légèrement plus, ils entraînent un retrait de permis, même si les circonstances sont favorables et les antécédents bons; ce retrait sera fondé sur l'art. 16 al. 2 LCR ou sur l'art. 16 al. 3 LCR en fonction d'un examen des circonstances concrètes de l'infraction; cependant, sur les routes avec circulation dans les deux sens, un dépassement de la vitesse autorisée de 30 km/h ou plus est toujours un cas grave au sens de l'art. 16 al. 3 lit. a LCR (ATF 122 II 228); - notablement au-delà de 30 km/h de dépassement, il y aura retrait de permis obligatoire fondé sur l'art. 16 al. 3 LCR, avec les conséquences qui en découlent pour l'application de l'art. 17 al. 1 lit. c LCR en cas de récidive (ATF 122 II 228 et les arrêts cités)</w:t>
      </w:r>
    </w:p>
    <w:p>
      <w:r>
        <w:rPr>
          <w:b/>
        </w:rPr>
        <w:t>E. 4</w:t>
      </w:r>
    </w:p>
    <w:p>
      <w:r>
        <w:t>S'agissant d'un excès de vitesse de 16 km/h commis en localité moins d'un an après le prononcé d'un avertissement, le Tribunal fédéral a jugé que, lorsqu'une infraction peut objectivement être qualifiée de peu de gravité, mais intervient dans le délai d'un an suivant le prononcé d'un avertissement, un nouvel avertissement est en principe exclu et le retrait du permis doit être ordonné en application de l'art. 16 al. 2 1ère phrase LCR (ATF 128 II 86). En l'espèce, le recourant ne conteste pas avoir commis un excès de vitesse de 16 km/h en localité, ce qui constitue une violation de l'art. 27 al. 1 LCR. L'infraction commise fait toutefois encore partie de celles pour lesquelles la jurisprudence précitée donne à l'autorité la faculté de ne prononcer qu'un simple avertissement, si le cas est de peu de gravité, compte tenu de la faute commise et des antécédents du conducteur. La faute commise par le recourant n'est pas grave, puisque l'excès de vitesse commis n'est que légèrement supérieur au seuil en dessous duquel un excès de vitesse ne donne pas lieu à une mesure administrative (CR 2002/0108 du 14 novembre 2002). Cependant, la réputation du recourant en tant que conducteur n'est pas bonne, puisqu'il a fait l'objet d'un avertissement pour excès de vitesse en février 1997 et d'un retrait de permis pour le même motif, arrivé à échéance le 28 février 2002, soit moins de deux ans avant la commission de la présente infraction. Dans ces conditions, on peut renoncer à trancher la question de savoir si le fait d'avoir commis une nouvelle infraction dans les deux ans suivant l'échéance d'un précédent retrait empêche de considérer le cas comme étant de peu de gravité. En effet, il suffit de constater que les mauvais antécédents du recourant en tant que conducteur ne permettent pas de considérer le cas comme étant un cas de peu de gravité susceptible d'un simple avertissement. Sans doute s'est-il écoulé près de deux ans depuis l'échéance de la dernière de ces mesures, mais il faut tenir compte du fait que c'est à nouveau pour un excès de vitesse que le recourant encourt une mesure administrative. Une mesure de retrait du permis de conduire s'impose donc en application de l'art. 16 al. 2 LCR (v. le cas très similaire CR 2002/0108 du 14 novembre 2002 précité).</w:t>
      </w:r>
    </w:p>
    <w:p>
      <w:r>
        <w:rPr>
          <w:b/>
        </w:rPr>
        <w:t>E. 5</w:t>
      </w:r>
    </w:p>
    <w:p>
      <w:r>
        <w:t>La mesure de retrait ordonnée pour la durée minimale d'un mois prévue par l'art. 17 al. 1 lit. a LCR doit ainsi être confirmée, sans qu'il soit nécessaire d'examiner l'utilité que revêt pour l'intéressé la possession de son permis. En effet, la jurisprudence du Tribunal fédéral a précisé que le critère de l'utilité professionnelle n'entre pas en ligne de compte lorsqu'il s'agit de choisir entre une mesure de retrait du permis ou un simple avertissement. L'utilité professionnelle n'intervient que pour fixer la durée de la mesure, les chauffeurs professionnels étant plus gravement touchés par un retrait, même s'il est de courte durée. En revanche, une infraction donnée ne peut pas être considérée comme moins grave du seul fait qu'elle a été commise par un conducteur qui utilise professionnellement son permis de conduire. Il serait donc contraire à l'égalité de traitement qu'un conducteur professionnel ne puisse encourir un retrait de permis que s'il commet une infraction grave (ATF 105 Ib 255).</w:t>
      </w:r>
    </w:p>
    <w:p>
      <w:r>
        <w:rPr>
          <w:b/>
        </w:rPr>
        <w:t>E. 6</w:t>
      </w:r>
    </w:p>
    <w:p>
      <w:r>
        <w:t>Au vu de ce qui précède, la décision attaquée doit 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