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CR.2004.0010 vom 10. März 2004</w:t>
      </w:r>
    </w:p>
    <w:p>
      <w:r>
        <w:t>VD Tribunal cantonal, 2004-03-10, FR</w:t>
      </w:r>
    </w:p>
    <w:p>
      <w:r>
        <w:rPr>
          <w:b/>
        </w:rPr>
        <w:t xml:space="preserve">Quelle: </w:t>
      </w:r>
      <w:r>
        <w:t>https://mcp.opencaselaw.ch/entscheid/vd_omni_CR.2004.0010</w:t>
      </w:r>
    </w:p>
    <w:p>
      <w:r>
        <w:t>FR: VD_OMNI CR.2004.0010 du 10 mars 2004</w:t>
      </w:r>
    </w:p>
    <w:p>
      <w:r>
        <w:t>IT: VD_OMNI CR.2004.0010 del 10 marzo 2004</w:t>
      </w:r>
    </w:p>
    <w:p>
      <w:pPr>
        <w:pStyle w:val="Heading2"/>
      </w:pPr>
      <w:r>
        <w:t>Regeste</w:t>
      </w:r>
    </w:p>
    <w:p>
      <w:r>
        <w:t>c/SA | En l'absence d'indices concrets faisant naître le soupçon d'une inaptitude caractérielle, un retrait du permis à titre préventif ne se justifie pas à l'encontre d'un conducteur ayant commis un excès de vitesse de 59 km/h sur une route principale.</w:t>
      </w:r>
    </w:p>
    <w:p>
      <w:pPr>
        <w:pStyle w:val="Heading2"/>
      </w:pPr>
      <w:r>
        <w:t>Erwägungen</w:t>
      </w:r>
    </w:p>
    <w:p>
      <w:r>
        <w:rPr>
          <w:b/>
        </w:rPr>
        <w:t>E. 35</w:t>
      </w:r>
    </w:p>
    <w:p>
      <w:r>
        <w:t>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En l'espèce, l'autorité intimée considère que le grave excès de vitesse commis par le recourant fait naître des doutes sur son aptitude à conduire en toute sécurité et sans réserve des véhicules automobiles. L'excès de vitesse de 59 km/h commis par le recourant sur une route cantonale constitue assurément une infraction qui doit entraîner un retrait d'admonestation d'une certaine sévérité; cependant, à elle seule, cette infraction ne dénote pas chez son auteur une inaptitude caractérisée à se comporter habituellement de manière correcte et sûre dans le trafic routier. Si le fait qu'un conducteur enfreigne intentionnellement une règle de la circulation routière ne suffit pas pour que son aptitude à la conduite soit mise en cause, en revanche les circonstances accessoires à la commission de cette infraction peuvent être révélatrices. Tel n'est pas le cas en l'espèce. En effet, lors de son interpellation par les gendarmes, le recourant a reconnu les faits qui lui étaient reprochés et s'est montré poli. Aucun élément dans le rapport de police ne permet de supposer que le recourant n'avait pas conscience de la gravité de la faute commise, ni qu'il tentait de la minimiser. Au surplus, le seul antécédent du recourant date de plus de dix ans et ne permet dès lors pas de considérer le recourant comme un récidiviste. Comme dans les arrêts CR 2003/0251 du 20 janvier 2004 et CR 2004/0023 du 10 mars 2004, il semble que ce soit uniquement la quotité de l'excès de vitesse commis par le recourant qui ait incité l'autorité intimée à ordonner le retrait préventif. Toutefois, en l'absence d'indices concrets faisant naître le soupçon d'une inaptitude caractérielle telle qu'il apparaîtrait urgent d'écarter le recourant de la circulation pour préserver la sécurité des autres usagers, une mesure de sécurité aussi incisive qu'un retrait préventif ne se justifie pas. La décision attaquée doit par conséquent être annulée, ce qui rend sans objet l'expertise auprès de l'UMTR annoncée dans la décision. Au vu de ce qui précède, le recours est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