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CR.2004.0007 vom 30. August 2006</w:t>
      </w:r>
    </w:p>
    <w:p>
      <w:r>
        <w:t>VD Tribunal cantonal, 2006-08-30, FR</w:t>
      </w:r>
    </w:p>
    <w:p>
      <w:r>
        <w:rPr>
          <w:b/>
        </w:rPr>
        <w:t xml:space="preserve">Quelle: </w:t>
      </w:r>
      <w:r>
        <w:t>https://mcp.opencaselaw.ch/entscheid/vd_omni_CR.2004.0007</w:t>
      </w:r>
    </w:p>
    <w:p>
      <w:r>
        <w:t>FR: VD_OMNI CR.2004.0007 du 30 août 2006</w:t>
      </w:r>
    </w:p>
    <w:p>
      <w:r>
        <w:t>IT: VD_OMNI CR.2004.0007 del 30 agosto 2006</w:t>
      </w:r>
    </w:p>
    <w:p>
      <w:pPr>
        <w:pStyle w:val="Heading2"/>
      </w:pPr>
      <w:r>
        <w:t>Regeste</w:t>
      </w:r>
    </w:p>
    <w:p>
      <w:r>
        <w:t>X. /Service des automobiles et de la navigation | On ne peut reprocher une mise en danger, même abstraite, au conducteur qui emprunte la bande d'arrêt d'urgence en marche arrière pour rejoindre son frère en panne, alors que 3 véhicules (celui de la gendarmerie, du frère et un véhicule d'entretien) occupaient déjà la bande d'arrêt d'urgence lors de sa manoeuvre. En l'absence de toute mise en danger, le prononcé d'une mesure administrative est exclu. Recours admis.</w:t>
      </w:r>
    </w:p>
    <w:p>
      <w:pPr>
        <w:pStyle w:val="Heading2"/>
      </w:pPr>
      <w:r>
        <w:t>Erwägungen</w:t>
      </w:r>
    </w:p>
    <w:p>
      <w:r>
        <w:rPr>
          <w:b/>
        </w:rPr>
        <w:t>E. 1</w:t>
      </w:r>
    </w:p>
    <w:p>
      <w:r>
        <w:t>Les faits ayant conduit à la décision attaquée remontent au 11 juin 2003, soit avant l'entrée en vigueur des nouvelles dispositions légales au 1 er janvier 2005. C'est donc bien l’ancien droit, en vigueur jusqu'au 31 décembre 2004, qui s’applique en l’espèce.</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de l'ordonnance fédérale du 13 novembre 1962 sur les règles de la circulation routière (ci-après: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le recourant ne conteste pas avoir emprunté la bande d’arrêt d’urgence en marche arrière pour rejoindre son frère. Par son comportement, il a par conséquent enfreint les normes précitées, en l’absence de nécessité absolue. A ce propos, on soulignera que les raisons de la manoeuvre invoquées par le recourant divergent. Alors qu’il a déclaré spontanément, lors de son interpellation, qu’il avait agi de la sorte pour rejoindre son frère qui avait été intercepté par une patrouille de gendarmerie, celui-ci ne sachant pas où il devait aller décharger son véhicule, le recourant a ensuite justifié sa manœuvre, au stade de la procédure administrative, par le fait qu’il croyait, lorsqu’il a vu son frère arrêté sur le bas-côté, celui-ci en panne. Faisant application de la règle de la "première déclaration" ou de la "déclaration de la première heure" selon laquelle il faut s'en remettre aux déclarations de première heure plutôt qu'à celles faites ultérieurement après mûre réflexion (Bulletin AC 94/1, fiche 3/6, CR.2005.0261 du 26 octobre 2005), on opposera au recourant ses premières déclarations, ce qui exclut précisément un cas de nécessité absolue au sens où l’entend l’art. 36 al. 3 OCR. De toute manière, même à supposer que son frère ait été en panne, le recourant ne saurait se prévaloir d’une nécessité absolue de s’arrêter lorsqu’une patrouille de police est déjà sur place.</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En l’espèce, le recourant a violé la norme rappelée au considérant 2 ci-dessus dans la mesure décrite au considérant 3.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le recourant.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panne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le raisonnement fondé sur la nécessité de laisser libre la bande d’arrêt d’urgence ne peut pas être suivi en l’espèce. En effet, les circonstances sont différentes des cas ci-dessus, puisque trois véhicules (véhicule de la gendarmerie, du frère du recourant et un véhicule d’entretien) occupaient déjà la bande d’arrêt d’urgence lors de la manœuvre du recourant. On peut donc exclure dans ces circonstances que le recourant soit à l’origine d’une mise en danger abstraite, ce qui exclut le prononcé d’une mesure administrative au sens de l’art. 16 al. 2 LCR.</w:t>
      </w:r>
    </w:p>
    <w:p>
      <w:r>
        <w:rPr>
          <w:b/>
        </w:rPr>
        <w:t>E. 6</w:t>
      </w:r>
    </w:p>
    <w:p>
      <w:r>
        <w:t>La décision attaquée sera dès lors annulée et le recours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