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CR.2004.0006 vom 14. Dezember 2005</w:t>
      </w:r>
    </w:p>
    <w:p>
      <w:r>
        <w:t>VD Tribunal cantonal, 2005-12-14, FR</w:t>
      </w:r>
    </w:p>
    <w:p>
      <w:r>
        <w:rPr>
          <w:b/>
        </w:rPr>
        <w:t xml:space="preserve">Quelle: </w:t>
      </w:r>
      <w:r>
        <w:t>https://mcp.opencaselaw.ch/entscheid/vd_omni_CR.2004.0006</w:t>
      </w:r>
    </w:p>
    <w:p>
      <w:r>
        <w:t>FR: VD_OMNI CR.2004.0006 du 14 décembre 2005</w:t>
      </w:r>
    </w:p>
    <w:p>
      <w:r>
        <w:t>IT: VD_OMNI CR.2004.0006 del 14 dicembre 2005</w:t>
      </w:r>
    </w:p>
    <w:p>
      <w:pPr>
        <w:pStyle w:val="Heading2"/>
      </w:pPr>
      <w:r>
        <w:t>Regeste</w:t>
      </w:r>
    </w:p>
    <w:p>
      <w:r>
        <w:t>X. /Service des automobiles et de la navigation | Le recourant a contesté sans succès sa condamnation pénale pour l'infraction et même si le rapport de police omet de mentionner le numéro d'immatriculation du véhicule, l'identité de l'auteur de l'excès de vitesse a bien été établie lors de son interpellation, de sorte que le tribunal retient que le recourant est bien l'auteur d'un excès de vitesse de 30 km/h sur autoroute. Selon la jurisprudence, une telle infraction devrait entraîner un retrait de permis, mais le SA n'a prononcé qu'un simple avertissement qui ne peut qu'être confirmé, le TA s'interdisant la reformatio in pejus.</w:t>
      </w:r>
    </w:p>
    <w:p>
      <w:pPr>
        <w:pStyle w:val="Heading2"/>
      </w:pPr>
      <w:r>
        <w:t>Erwägungen</w:t>
      </w:r>
    </w:p>
    <w:p>
      <w:r>
        <w:rPr>
          <w:b/>
        </w:rPr>
        <w:t>E. 1</w:t>
      </w:r>
    </w:p>
    <w:p>
      <w:r>
        <w:t>Le recourant conteste avoir commis l’infraction litigieuse. Il semble vouloir tirer avantage du fait que les auteurs du rapport de police n’ont pas relevé le numéro de plaques de la voiture en cause.</w:t>
      </w:r>
    </w:p>
    <w:p>
      <w:r>
        <w:rPr>
          <w:b/>
        </w:rPr>
        <w:t>E. 2</w:t>
      </w:r>
    </w:p>
    <w:p>
      <w:r>
        <w:t>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w:t>
      </w:r>
    </w:p>
    <w:p>
      <w:r>
        <w:rPr>
          <w:b/>
        </w:rPr>
        <w:t>E. 3</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4</w:t>
      </w:r>
    </w:p>
    <w:p>
      <w:r>
        <w:t>En l'espèce, le recourant a contesté en vain la décision pénale rendue à son encontre, puisque le Tribunal d’arrondissement a rejeté son appel pour cause de tardiveté et que le Tribunal fédéral a déclaré irrecevable son pourvoi en nullité. Par ailleurs, les conditions permettant à l'autorité administrative de s'écarter de l'état de fait retenu dans la décision pénale ne sont pas réunies en l'espèce, puisque le recourant n’apporte aucun élément permettant de renverser le prononcé de culpabilité résultant de la décision pénale. En particulier, le recourant perd de vue que, si les auteurs du rapport de police ont effectivement omis de relever le numéro d’immatriculation du véhicule contrôle, ils ont néanmoins établi l’identité de l’auteur de l’excès de vitesse (en l’espèce, la sienne). Le tribunal de céans ne saurait dès lors s'écarter des faits retenus par le préfet, de sorte qu'il tient pour établi que le recourant est bien l’auteur de l’infraction litigieuse.</w:t>
      </w:r>
    </w:p>
    <w:p>
      <w:r>
        <w:rPr>
          <w:b/>
        </w:rPr>
        <w:t>E. 5</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6</w:t>
      </w:r>
    </w:p>
    <w:p>
      <w:r>
        <w:t>Selon la jurisprudence constante du Tribunal fédéral, sur les autoroutes, un avertissement doit être prononcé dès que le dépassement de vitesse atteint 15 km/h (ATF 124 II 475 ; 123 II 106 consid. 2c p. 111). Le retrait facultatif doit être ordonné si le dépassement de vitesse est compris entre 30 et 35 km/h (ATF 124 II 475 ; 124 II 97 consid. 2b p. 99 ; 123 II 106 consid. 2c p. 113). Le retrait est obligatoire (art. 16 al. 3 let. a LCR) lorsque le dépassement de vitesse atteint 35 km/h (ATF 124 II 475 ; 124 II 97 consid. 2b p. 99 ; 123 II 106 consid. 2c p. 112 s.).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 124 II 97 consid. 2b p. 99 ; 123 II 106 consid. 1e p. 41). En l'espèce, le recourant a commis un excès de vitesse de 30 km/h sur l’autoroute, ce qui constitue une violation de l'art. 27 al. 1 LCR. Selon la jurisprudence précitée, un excès de vitesse de 30 km/h sur l’autoroute devrait entraîner le prononcé d’un retrait du permis de conduire, mais pour des motifs que l’on ignore, l’autorité intimée a considéré que l'infraction commise faisait encore partie de celles pour lesquelles la jurisprudence permettait de s’en tenir au prononcé d’un simple avertissement. Cependant, comme le tribunal de céans ne se reconnaît pas le droit de revoir la décision de l’autorité intimée dans un sens défavorable au recourant en l'absence de toute disposition légale expresse (arrêt CR.1995.0117 du 20 juin 1995 et réf. citée), l’avertissement prononcé par l’autorité intimée ne peut qu’être confirmé. Le recours est par conséquent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