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CR.2003.0244 vom 24. November 2004</w:t>
      </w:r>
    </w:p>
    <w:p>
      <w:r>
        <w:t>VD Tribunal cantonal, 2004-11-24, FR</w:t>
      </w:r>
    </w:p>
    <w:p>
      <w:r>
        <w:rPr>
          <w:b/>
        </w:rPr>
        <w:t xml:space="preserve">Quelle: </w:t>
      </w:r>
      <w:r>
        <w:t>https://mcp.opencaselaw.ch/entscheid/vd_omni_CR.2003.0244</w:t>
      </w:r>
    </w:p>
    <w:p>
      <w:r>
        <w:t>FR: VD_OMNI CR.2003.0244 du 24 novembre 2004</w:t>
      </w:r>
    </w:p>
    <w:p>
      <w:r>
        <w:t>IT: VD_OMNI CR.2003.0244 del 24 novembre 2004</w:t>
      </w:r>
    </w:p>
    <w:p>
      <w:pPr>
        <w:pStyle w:val="Heading2"/>
      </w:pPr>
      <w:r>
        <w:t>Regeste</w:t>
      </w:r>
    </w:p>
    <w:p>
      <w:r>
        <w:t>X. /Service des automobiles et de la navigation | Le conducteur qui ne prend pas toutes les précautions au moment de quitter son véhicule, à savoir placer le levier de vitesse d'une boîte automatique sur la position " P " (parking) et tirer le frein à main, commet une faute légère. Même s'il s'agit d'un cas de peu de gravité, il constitue une mise en danger, compromettant la sécurité de la route et justifie un avertissement.</w:t>
      </w:r>
    </w:p>
    <w:p>
      <w:pPr>
        <w:pStyle w:val="Heading2"/>
      </w:pPr>
      <w:r>
        <w:t>Erwägungen</w:t>
      </w:r>
    </w:p>
    <w:p>
      <w:r>
        <w:rPr>
          <w:b/>
        </w:rPr>
        <w:t>E. 16</w:t>
      </w:r>
    </w:p>
    <w:p>
      <w:r>
        <w:t>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taches en tant que conducteur, le prononcé d'un simple avertissement n'est pas exclu même si l'atteinte à la sécurité de la route a été grave (ATF 125 II 561). 3.                     L'art. 37 al. 3 LCR prévoit que le conducteur ne peut quitter son véhicule sans avoir pris les précautions commandées par les circonstances. L'art. 22 al. 1 OCR précise à cet égard que le conducteur qui quitte son véhicule doit en arrêter le moteur. Avant de s'éloigner, il se garantira contre une mise en mouvement fortuite ou un usage illicite du véhicule. A teneur de l'art. 22 al. 2 OCR, sur les déclivités, le conducteur serrera le frein et prendra encore une seconde mesure de sécurité propre à maintenir le véhicule à l'arrêt, notamment en engageant le rapport inférieur de la boîte de vitesses ou en dirigeant les roues vers un obstacle situé au bord de la chaussée. 4.                     Les art. 37 al. 3 LCR et 22 al. 1 OCR imposent au conducteur qui parque son véhicule de s'arrêter en ayant égard aux autres usagers de la route et en évitant de créer ainsi un danger sérieux pour eux. Cette obligation lui incombe en sa qualité de conducteur, au sens de l'art. 16 al. 2 LCR. Par conséquent, celui qui, après avoir parqué et immobilisé le véhicule qu'il conduisait, ouvre la portière sans prendre les précautions commandées par les circonstances et compromet ainsi la sécurité de la route est passible des mesures prévues par l'art. 16 al. 2 LCR (ATF 118 Ib 524, consid. 3b). Le tribunal de céans a jugé qu'il devait en être de même du conducteur qui quitte son véhicule après avoir insuffisamment tiré son frein à main, de sorte que le véhicule se met soudain en mouvement et compromet ainsi la sécurité de la route (CR 1995/0116, du 3 juillet 1995; CR 1995/0330, du 7 mai 1996). 5.                     Cette jurisprudence doit également être appliquée au conducteur qui, comme en l'espèce, quitte son véhicule parqué sur une route à faible déclivité (3 %) sans avoir placé le levier de sélection sur la position "parking" de la boîte automatique, ce qui constitue la garantie minimale contre une mise en mouvement fortuite, ni tiré le frein à main. C'est donc à juste titre que le Service des automobiles a retenu une faute de circulation à la charge du recourant. Cette faute a engendré une mise en danger qui n'est pas négligeable compte tenu du fait qu'un véhicule qui s'ébranle silencieusement, fût-ce à faible vitesse, constitue un danger potentiel pour les usagers de la route. En définitive, la faute et la mise en danger peuvent certes encore être considérées comme de peu de gravité, mais il ne s'agit pas d'un cas si bénin qu'il serait possible de renoncer à toute mesure. La décision attaquée doit donc être maintenue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