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CR.2003.0199 vom 23. Dezember 2003</w:t>
      </w:r>
    </w:p>
    <w:p>
      <w:r>
        <w:t>VD Tribunal cantonal, 2003-12-23, FR</w:t>
      </w:r>
    </w:p>
    <w:p>
      <w:r>
        <w:rPr>
          <w:b/>
        </w:rPr>
        <w:t xml:space="preserve">Quelle: </w:t>
      </w:r>
      <w:r>
        <w:t>https://mcp.opencaselaw.ch/entscheid/vd_omni_CR.2003.0199</w:t>
      </w:r>
    </w:p>
    <w:p>
      <w:r>
        <w:t>FR: VD_OMNI CR.2003.0199 du 23 décembre 2003</w:t>
      </w:r>
    </w:p>
    <w:p>
      <w:r>
        <w:t>IT: VD_OMNI CR.2003.0199 del 23 dicembre 2003</w:t>
      </w:r>
    </w:p>
    <w:p>
      <w:pPr>
        <w:pStyle w:val="Heading2"/>
      </w:pPr>
      <w:r>
        <w:t>Regeste</w:t>
      </w:r>
    </w:p>
    <w:p>
      <w:r>
        <w:t>X. c/SA | Application des principes développés par la jurisprudence pour les cas d'ivresse au volant au taux compris entre 0,8 et 1 o/oo au conducteur qui admet l'ébriété, mais dont le taux d'alcoolisation ne peut plus être établi. Récidive d'ivresse 3 semaines après l'échéance du précédent retrait (3 mois pour ivresse de 1,02 o/oo à l'éthylomètre et refus de la prise de sang). Soustraction à la prise de sang et refus de se soumettre au test à l'éthylomètre. La phobie des piqûres invoquée n'a pas pour effet de rendre la prise de sang dangereuse. Soustraction inexcusable au contrôle retenue en concours avec l'ivresse. Retrait de 20 mois confirmé.</w:t>
      </w:r>
    </w:p>
    <w:p>
      <w:pPr>
        <w:pStyle w:val="Heading2"/>
      </w:pPr>
      <w:r>
        <w:t>Erwägungen</w:t>
      </w:r>
    </w:p>
    <w:p>
      <w:r>
        <w:rPr>
          <w:b/>
        </w:rPr>
        <w:t>E. 26</w:t>
      </w:r>
    </w:p>
    <w:p>
      <w:r>
        <w:t>octobre 1999), alors même que les antécédents du conducteur étaient bons et qu'il pouvait se prévaloir d'une certaine utilité professionnelle du permis de conduire. En outre, le Tribunal administratif a rappelé à plusieurs reprises qu'en présence d'un taux d'alcoolémie dépassant 2 g. ‰, le Service des automobiles n'abusait pas de son pouvoir d'appréciation en prononçant un retrait de permis d'une durée de six mois (voir notamment arrêts CR 1993/151 du 23 juin 1993; CR 1993/091 du 28 avril 1993; CR 1992/035 du 1er juin 1992; CR 1991/111 du 22 janvier 1992 et références citées). En matière de récidive d'ivresse, le minimum légal d'un an est réservé aux cas où la nouvelle infraction d'ivresse a été commise à l'approche de l'échéance du délai de récidive, c'est-à-dire dans un délai de quatre à cinq ans. Si ce délai est plus court, cela justifie une aggravation de la mesure. Les autres critères utilisés en matière d'ivresse simple s'appliquent également (RDAF 1986 p. 312). Ainsi, l'importance du taux d'alcoolémie et les antécédents - c'est-à-dire l'éventuelle sévérité du précédent retrait pour ivresse au volant ainsi que les éventuelles autres sanctions déjà encourues par le conducteur - peuvent nécessiter une augmentation de la durée de la mesure (arrêt CR 1997/0223 du 6 novembre 1997 : confirmation, dans le cas d'un physiothérapeute soignant certains de ses clients à domicile, d'une mesure de retrait du permis d'une durée de 18 mois pour récidive d'ivresse - 1,04 g. ‰ - neuf mois et demie après l'échéance du précédent retrait de trois mois; CR 1999/0180 du 8 décembre 1999 : retrait du permis d'une durée de 15 mois, dans le cas d'un conducteur en récidive d'ivresse - 1,31 g. ‰ - 19 mois après la dernière conduite en état d'ébriété; les antécédents du conducteur étaient défavorables, mais en tant qu'aide maçon il pouvait se prévaloir d'une certaine utilité professionnelle; CR 1999/0118 du 29 septembre 1999 : confirmation, dans le cas d'un architecte d'intérieur, qui ne pouvait se prévaloir que d'une utilité professionnelle limitée, d'un retrait de 17 mois pour une récidive d'ivresse - 0.95 g. ‰ - six mois après l'échéance du précédent retrait; CR 2001/0187 du 24 juillet 2002 : retrait de 20 mois pour une récidive d'ivresse - 1,08 ‰ - 6 mois après l'expiration d'un précédent retrait; cf. également CR 2001/0304 du 21 février 2002 : confirmation, dans le cas d'un agriculteur avec une forte utilité professionnelle du permis, d'un retrait de 15 mois pour une récidive d'ivresse - 1.56 g. ‰ - 19 mois après un précédent retrait pour ivresse - 1,09 g. ‰). c) Le recourant ayant conduit en état d'ivresse avec un taux d'alcoolémie qu'il n'est plus possible d'établir, les principes développés par la jurisprudence pour les cas d'ivresse compris entre 0,8 et 1,0 g. ‰ paraissent applicables. Au vu de la conduite en état d'ébriété et des très importants facteurs aggravants du cas d'espèce, soit notamment l'antécédent du recourant pour ébriété (1,02 g. ‰ à l'éthylomètre) et entrave à la prise de sang, l'extrême brièveté du délai (trois semaines) qui a couru depuis la fin de la précédente mesure - circonstances dont il faut déduire que l'intéressé n'a pas compris le caractère d'admonestation de la mesure qu'il a déjà subie - et la soustraction à la prise de sang après avoir refusé les tests à l'éthylomètre, le Tribunal estime qu'une mesure de retrait du permis arrêtée à 20 mois est justifiée malgré l'utilité professionnelle du permis. Une telle durée de la mesure de retrait s'avère conforme à la jurisprudence rappelée ci-dessus (cf. surtout CR 1997/0223 et CR 1999/0118) compte tenu des particularités de la cause. L'arrêt cité par le recourant (résumé dans PJA 2000 p. 357 no 5 et au JdT 2001 I 422 no 14), qui concerne un simple cas de récidive d'ivresse (avec alcoolisation de 1,67 g. ‰), sans précision notamment sur le temps écoulé entre la nouvelle infraction et la fin de la précédente mesure, n'est pas topique. 3.                     Il résulte des considérants qui précèdent que le recours est rejeté. Un émolument de justice est mis à la charge du recourant. Vu l'issue du litige,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