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CR.2003.0171 vom 6. Oktober 2003</w:t>
      </w:r>
    </w:p>
    <w:p>
      <w:r>
        <w:t>VD Tribunal cantonal, 2003-10-06, FR</w:t>
      </w:r>
    </w:p>
    <w:p>
      <w:r>
        <w:rPr>
          <w:b/>
        </w:rPr>
        <w:t xml:space="preserve">Quelle: </w:t>
      </w:r>
      <w:r>
        <w:t>https://mcp.opencaselaw.ch/entscheid/vd_omni_CR.2003.0171</w:t>
      </w:r>
    </w:p>
    <w:p>
      <w:r>
        <w:t>FR: VD_OMNI CR.2003.0171 du 6 octobre 2003</w:t>
      </w:r>
    </w:p>
    <w:p>
      <w:r>
        <w:t>IT: VD_OMNI CR.2003.0171 del 6 ottobre 2003</w:t>
      </w:r>
    </w:p>
    <w:p>
      <w:pPr>
        <w:pStyle w:val="Heading2"/>
      </w:pPr>
      <w:r>
        <w:t>Regeste</w:t>
      </w:r>
    </w:p>
    <w:p>
      <w:r>
        <w:t>c/SAN | Même si le cas ne concorde pas en tous points avec les hypothèses dans lesquelles la jurisprudence admet d'emblée l'existence d'un soupçon d'alcoolodépendance (une ivresse à 2,5 g%o ou 2 ivresses à 1,6 gr%o en 5 ans), retrait préventif confirmé à l'égard d'un conducteur interpellé en état d'ébriété pour la deuxième fois en l'espace de 5 ans et 2 mois, avec un taux d'alcoolémie de 1,91 g%o (2,45 g%o la première fois).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de la loi sur la juridiction et la procédure administratives du 18 décembre 1989 (LJPA), un émolument sera mis à la charge du recourant débouté, qui n'a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