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CR.2003.0147 vom 15. Oktober 2003</w:t>
      </w:r>
    </w:p>
    <w:p>
      <w:r>
        <w:t>VD Tribunal cantonal, 2003-10-15, FR</w:t>
      </w:r>
    </w:p>
    <w:p>
      <w:r>
        <w:rPr>
          <w:b/>
        </w:rPr>
        <w:t xml:space="preserve">Quelle: </w:t>
      </w:r>
      <w:r>
        <w:t>https://mcp.opencaselaw.ch/entscheid/vd_omni_CR.2003.0147</w:t>
      </w:r>
    </w:p>
    <w:p>
      <w:r>
        <w:t>FR: VD_OMNI CR.2003.0147 du 15 octobre 2003</w:t>
      </w:r>
    </w:p>
    <w:p>
      <w:r>
        <w:t>IT: VD_OMNI CR.2003.0147 del 15 ottobre 2003</w:t>
      </w:r>
    </w:p>
    <w:p>
      <w:pPr>
        <w:pStyle w:val="Heading2"/>
      </w:pPr>
      <w:r>
        <w:t>Regeste</w:t>
      </w:r>
    </w:p>
    <w:p>
      <w:r>
        <w:t>c/SA | Collision sur autoroute suite à un brusque ralentissement. Distance insuffisante en dépit d'une circulation à 80-100 km/h. Dégâts non négligeables dus au choc. Faute qui ne peut être qualifiée de légère. Retrait d'un mois confirmé.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lettre a LCR, la mesure attaquée doit donc être confirmée. 4.                     Le recours est rejeté. Un émolument de justice est mis à la charge du recourant débouté.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