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CR.2002.0259 vom 13. September 2004</w:t>
      </w:r>
    </w:p>
    <w:p>
      <w:r>
        <w:t>VD Tribunal cantonal, 2004-09-13, FR</w:t>
      </w:r>
    </w:p>
    <w:p>
      <w:r>
        <w:rPr>
          <w:b/>
        </w:rPr>
        <w:t xml:space="preserve">Quelle: </w:t>
      </w:r>
      <w:r>
        <w:t>https://mcp.opencaselaw.ch/entscheid/vd_omni_CR.2002.0259</w:t>
      </w:r>
    </w:p>
    <w:p>
      <w:r>
        <w:t>FR: VD_OMNI CR.2002.0259 du 13 septembre 2004</w:t>
      </w:r>
    </w:p>
    <w:p>
      <w:r>
        <w:t>IT: VD_OMNI CR.2002.0259 del 13 settembre 2004</w:t>
      </w:r>
    </w:p>
    <w:p>
      <w:pPr>
        <w:pStyle w:val="Heading2"/>
      </w:pPr>
      <w:r>
        <w:t>Regeste</w:t>
      </w:r>
    </w:p>
    <w:p>
      <w:r>
        <w:t>c/SA | Collision sur l'autoroute suite à un ralentissement et au non-respect d'une distance suffisante avec le véhicule qui précède (poussé à son tour contre le véhicule devant lui). Antécédent (retrait d'un mois exécuté 5 mois plus tôt). Pas de récidive, la faute étant de moyenne gravité. Retrait ramené de 7 à 2 mois. Les émoluments du Service des automobiles, qui n'ont pas la fonction d'une amende, n'ont pas à être réduits.</w:t>
      </w:r>
    </w:p>
    <w:p>
      <w:pPr>
        <w:pStyle w:val="Heading2"/>
      </w:pPr>
      <w:r>
        <w:t>Erwägungen</w:t>
      </w:r>
    </w:p>
    <w:p>
      <w:r>
        <w:rPr>
          <w:b/>
        </w:rPr>
        <w:t>E. 16</w:t>
      </w:r>
    </w:p>
    <w:p>
      <w:r>
        <w:t>al. 3 LCR (cf. CR 2002/0314 du 18 mars 2003), ce qui n'est pas le cas en l'occurrence, dès lors que le tribunal n'a pas retenu la faute grave. Dans ces conditions, il faut se référer à l'art. 17 al. 1 lettre a LCR, selon lequel la durée du retrait ne sera pas inférieure à un mois. Au demeurant, comme le rappelle la jurisprudence, le retrait du permis doit aussi être assez rigoureux pour prévenir une récidive (ATF 108 Ib 166 consid 5b). Au regard des circonstances du cas particulier (faute sérieuse, antécédent récent, utilité professionnelle du permis très restreinte, limitée aux trajets pour se rendre aux cours, de X.________ à Y.________), le Tribunal estime qu'une mesure de retrait du permis de deux mois, comme requis d'ailleurs par le recourant dans ses déterminations au Service des automobiles du 19 août 2002, est adéquate. 5.                     Au surplus, le recourant conteste les émoluments mis à sa charge par le Service des automobiles. Ces émoluments, qui n'ont pas la fonction d'une amende, ont été fixés en application du règlement du 11 décembre 1996 sur les émoluments et le tarif perçus par le Service des automobiles, cycles et bateaux (RSV 7.6 D), qui prescrit un émolument de 200 fr. pour la procédure (art. 1 chiffre 9.1 lettre a) et de 250 fr. pour le cours d'éducation routière (art. 1 chiffre 9.5). 6.                     Il résulte des considérants qui précèdent que le recours est admis, en tant qu'il porte sur la durée du retrait (mais non sur la question subsidiaire des frais), ce qui conduit à une admission partielle. Vu l'issue du litige, il n'y a pas lieu de mettre des frais à la charge du recourant, qui a d'ailleurs été dispensé d'en faire l'avance au vu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