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CR.2002.0226 vom 27. Februar 2003</w:t>
      </w:r>
    </w:p>
    <w:p>
      <w:r>
        <w:t>VD Tribunal cantonal, 2003-02-27, FR</w:t>
      </w:r>
    </w:p>
    <w:p>
      <w:r>
        <w:rPr>
          <w:b/>
        </w:rPr>
        <w:t xml:space="preserve">Quelle: </w:t>
      </w:r>
      <w:r>
        <w:t>https://mcp.opencaselaw.ch/entscheid/vd_omni_CR.2002.0226</w:t>
      </w:r>
    </w:p>
    <w:p>
      <w:r>
        <w:t>FR: VD_OMNI CR.2002.0226 du 27 février 2003</w:t>
      </w:r>
    </w:p>
    <w:p>
      <w:r>
        <w:t>IT: VD_OMNI CR.2002.0226 del 27 febbraio 2003</w:t>
      </w:r>
    </w:p>
    <w:p>
      <w:pPr>
        <w:pStyle w:val="Heading2"/>
      </w:pPr>
      <w:r>
        <w:t>Regeste</w:t>
      </w:r>
    </w:p>
    <w:p>
      <w:r>
        <w:t>c/SA | Retrait différencié de 6 et 8 mois pour un conducteur récidiviste qui, vers 2h00 du matin, perd la maîtrise de son véhicule, sort de la route en heurtant des balises, puis regagne son domicile sans avertir la police, ni les lésés. Soustraction à la prise de sang admise tant par le juge pénal que par le TA.</w:t>
      </w:r>
    </w:p>
    <w:p>
      <w:pPr>
        <w:pStyle w:val="Heading2"/>
      </w:pPr>
      <w:r>
        <w:t>Erwägungen</w:t>
      </w:r>
    </w:p>
    <w:p>
      <w:r>
        <w:rPr>
          <w:b/>
        </w:rPr>
        <w:t>E. 18</w:t>
      </w:r>
    </w:p>
    <w:p>
      <w:r>
        <w:t>décembre 1989 sur la juridiction et la procédure administrative (LJPA). Il y a donc lieu d'entrer en matière. 2.                     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Statuant sur un retrait de permis, elle ne peut pas s'écarter, sauf exceptions, des faits retenus dans une décision pénale entrée en force. Elle doit en particulier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résumé,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le Juge d'instruction a retenu la violation simple d'une règle de la circulation (art. 31 al. 1 LCR et 3 al. 1 OCR), la soustraction à la prise de sang, la violation des devoirs en cas d'accident, la circulation sans permis et la contravention à l'OCR. Aucun élément ne permet de douter de l'exactitude des faits retenus dans l'ordonnance du 24 avril 2002, de sorte que le tribunal de céans ne saurait s'en écarter. Si A.________ entendait contester ces faits ou leur appréciation, il lui appartenait de recourir contre cette ordonnance. Qu'il n'ait "pas compris la portée des infractions pour lesquelles il avait été condamné" n'apparaît pas vraisemblable. D'une part, contrairement à ce qu'il affirme, une amende de 2'500 fr. n'est pas "modique" ; d'autre part, vu ses antécédent, le recourant ne pouvait pas ignorer les conséquences administratives de cette condamnation. 3.                     Aux termes de l'art. 16 al. 3 lettre g LCR, le permis de conduire doit être retiré au conducteur qui s'est intentionnellement opposé ou dérobé à une prise de sang qui avait été ordonnée ou dont il devait escompter qu'elle le serait, ou à un examen médical complémentaire ou s'il a fait en sorte que des mesures de ce genre ne puissent atteindre leur but. En l'occurrence, le recourant prétend que l'ordonnance du 24 avril 2002 ne retient pas à son encontre " une quelconque soustraction intentionnelle à la prise de sang " . Il fait ainsi valoir implicitement qu'il n'avait aucune intention de se soustraire à la prise de sang. Cette argumentation ne peut être suivie. Les articles 16 al. 3 lit. g et 91 al. 3 LCR sont clairs: seule la réalisation de l'élément subjectif permet leur application par l'autorité concernée, ce qui exclut toute punissabilité de la négligence (v. ATF 114 IV 148 = JT 1988 I 712). En condamnant le recourant pour soustraction à la prise de sang, le juge d'instruction a donc nécessairement retenu que l'élément intentionnel de cette infraction était réalisé, au moins à titre de dol éventuel. Le recourant ne présente d'ailleurs guère d'arguments de nature à mettre en cause l'appréciation que le juge pénal a faite des circonstances. L'omission d'avertir immédiatement la police d'un accident tombe objectivement sous la définition de l'entrave à une prise de sang lorsque le conducteur y était obligé en vertu de l'art. 51 LCR, que cela était possible et qu'au regard des autres circonstances, il apparaît très probable que l'autorité, à l'annonce de l'accident, aurait ordonné une prise de sang (ATF 124 IV 175, consid. 3 a, p. 178; 120 IV 73 consid. 1 b et 2 p. 75). En l'espèce, compte tenu de l'heure et des circonstances de l'accident (notamment du fait que le conducteur avait consommé de l'alcool peu avant et que ses explications sur les causes de sa sortie de route ne coïncident pas avec les traces relevées sur les lieux), un contrôle de l'état physique du conducteur apparaissait hautement vraisemblable, ce que le recourant ne pouvait objectivement pas ignorer (cf. pour le cas comparable d'un conducteur qui, à 4 heures du matin, heurte un îlot, part en dérapage et renverse le poteau supportant la caméra d'un feu rouge, ATF 105 IV 64). C'est dès lors à juste titre que le Service des automobiles a retiré le permis de conduire du recourant en application de l'art. 16 al. 3 let. g LCR. 4.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sera de six mois au minimum si le permis doit être obligatoirement retiré, en vertu de l'art. 16 al. 3 lit. g LCR, pour cause d'infraction commise dans les deux ans depuis l'expiration du dernier retrait. L'art. 34 OAC dispose que le retrait du permis de conduire d'une catégorie déterminée entraîne le retrait du permis de toutes les catégories de véhicules automobiles (al. 1 première phrase). Afin d'éviter les conséquences d'une rigueur excessive, le retrait du permis de conduire peut être décidé pour une durée différente selon les catégories de permis, sous réserve d'observer la durée minimale fixée par la loi pour toutes les catégories. Cette manière de faire est autorisée notamment lorsque l'intéressé a commis l'infraction justifiant la mesure de retrait avec un véhicule dont il n'a pas besoin pour exercer sa profession et lorsqu'il jouit d'une bonne réputation en tant que conducteur du véhicule de la catégorie pour laquelle il s'agit d'abréger la durée du retrait (al. 2). A.________ se trouve en état de récidive, puisque son dernier retrait de permis, déjà différencié, remonte au mois de juin 2001. L'autorité intimée était donc liée par le minimum légal prévu par l'art. 17 al. 1 lit. c LCR, qui s'applique à toutes les catégories du permis de conduire (art. 34 al. 2 OAC). L'utilité que présente l'usage d'un véhicule dans le cadre d'une activité professionnelle ne peut être prise en compte que lorsque la durée du retrait dépasse le minimum légal. Tel n'est pas le cas en l'espèce pour son permis des catégories C et E. Quant au retrait du permis de conduire de huit mois pour les autres catégories, force est de constater que les antécédents défavorables et la gravité de la faute du recourant justifient pleinement la mesure prononcée à son égard. En conséquence, l'autorité intimée n'a pas outrepassé son pouvoir d'appréciation en fixant les durées du retrait du permis de conduire à huit et six mois. La décision attaquée ne peut ainsi qu'être confirmée et le recours rejeté. 5.                     Conformément aux art. 38 et 55 LJPA, il convient de mettre un émolument de justice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