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CR.2002.0210 vom 5. Dezember 2002</w:t>
      </w:r>
    </w:p>
    <w:p>
      <w:r>
        <w:t>VD Tribunal cantonal, 2002-12-05, FR</w:t>
      </w:r>
    </w:p>
    <w:p>
      <w:r>
        <w:rPr>
          <w:b/>
        </w:rPr>
        <w:t xml:space="preserve">Quelle: </w:t>
      </w:r>
      <w:r>
        <w:t>https://mcp.opencaselaw.ch/entscheid/vd_omni_CR.2002.0210</w:t>
      </w:r>
    </w:p>
    <w:p>
      <w:r>
        <w:t>FR: VD_OMNI CR.2002.0210 du 5 décembre 2002</w:t>
      </w:r>
    </w:p>
    <w:p>
      <w:r>
        <w:t>IT: VD_OMNI CR.2002.0210 del 5 dicembre 2002</w:t>
      </w:r>
    </w:p>
    <w:p>
      <w:pPr>
        <w:pStyle w:val="Heading2"/>
      </w:pPr>
      <w:r>
        <w:t>Regeste</w:t>
      </w:r>
    </w:p>
    <w:p>
      <w:r>
        <w:t>c/ SA | Circuler à 130 km/h sur autoroute mouillée avec des pneus très usés et perdre de ce fait la maîtrise du véhicule constitue une infraction qui franchit la limite du cas grave. Confirmation de la durée du retrait de six mois, cette infraction ayant été commise dans le délai de récidive de deux ans de l'art. 17 al. 1 lit. c LCR. Admission du fractionnement de l'exécution de la mesure en deux périodes de 3 mois pour permettre au recourant, apprenti mécanicien, de préserver son avenir professionnel.</w:t>
      </w:r>
    </w:p>
    <w:p>
      <w:pPr>
        <w:pStyle w:val="Heading2"/>
      </w:pPr>
      <w:r>
        <w:t>Erwägungen</w:t>
      </w:r>
    </w:p>
    <w:p>
      <w:r>
        <w:rPr>
          <w:b/>
        </w:rPr>
        <w:t>E. 16</w:t>
      </w:r>
    </w:p>
    <w:p>
      <w:r>
        <w:t>al. 2, 1ère phrase, LCR); un simple avertissement pourra être donné dans les cas de peu de gravité (2ème phrase). Le permis de conduire doit être retiré si le conducteur a compromis gravement la sécurité de la route (art. 16 al. 3 lettre a LCR). La loi fait ainsi la distinction entre le cas de peu de gravité (art. 16 al. 2, 2ème phrase, LCR), le cas de gravité moyenne (art. 16 al. 2, 1ère phrase, LCR) et le cas grave (art. 16 al. 3, lettre a, LCR; cf. ATF 123 II 106 consid. 2a p. 109).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lettre a LCR (ATF 123 II 109 consid. 2a). 2.                     Selon l'art. 27 al. 1 LCR, chacun se conformera aux signaux et aux marques. Aux termes de l'art 31 al. 1 LCR, le conducteur devra rester constamment maître de son véhicule de façon à pouvoir se conformer aux devoirs de la prudence. Aux termes de l'art. 32 al. 1 LCR, la vitesse doit toujours être adaptée aux circonstances. Selon l'art. 29 LCR,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L'art. 58 al. 4 OETV précise que la toile des pneumatiques ne doit être ni abîmée ni apparente et que les pneumatiques doivent présenter un profil d'au moins 1,6 mm sur toute la surface de la bande de roulement. En l'espèce, en circulant sur l'autoroute mouillée à une vitesse de 130 km/h alors que la vitesse maximale autorisée est limitée à 120 km/h avec une voiture aux pneus très usés et en perdant de ce fait la maîtrise de son véhicule, le recourant a enfreint les dispositions précitées. Ce faisant, il a commis une infraction qui franchit la limite du cas grave au sens de l'art. 16 al. 3 lit. a LCR et qui entraîne un retrait obligatoire du permis de conduire. En effet, le recourant n'a pas hésité à circuler à une vitesse supérieure à la vitesse maximale autorisée, sur route mouillée qui plus est, alors qu'il savait que les pneus de la voiture qu'il conduisait étaient usés. On ne se trouve pas en présence d'un bref instant de distraction, mais d'une négligence grave révélant un manque de scrupules certain. 3.                     Selon les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l'art. 17 al. 1 lit. c LCR, la durée du retrait ne sera pas inférieure à six mois si le permis doit être obligatoirement retiré (en vertu de l'art. 16 al. 3 LCR) pour cause d'infraction commise dans les deux ans depuis l'expiration du dernier retrait. En l'espèce, l'infraction litigieuse (entraînant un retrait obligatoire du permis de conduire) a été commise huit mois après l'échéance de la précédente mesure de retrait encourue par le recourant. Ce dernier se trouve par conséquent en état de récidive au sens de l'art. 17 al. 1 lit. c LCR, de sorte que la durée du retrait prononcé à son encontre ne sera pas inférieure à six mois. C'est donc à juste titre que l'autorité intimée a prononcé une mesure de retrait du permis de conduire d'une durée de six mois, s'en tenant ainsi au minimum légal. Dans ces conditions, on relèvera que le critère de l'utilité professionnelle invoqué par le recourant n'est pas pertinent, dès lors que ce critère n'intervient pas lorsque la durée de la mesure de retrait s'en tient au minimum légal. 4.                     Le recourant demande subsidiairement à pouvoir exécuter la mesure de retrait en deux périodes de trois mois chacune de façon à préserver sa place d'apprenti mécanicien. Selon la jurisprudence du Département fédéral de l'environnement, de l'énergie, des transports et de la communication (ci-après DETEC), autorité fédérale compétente en matière de recours dirigés contre les décisions cantonales relatives aux modalités d'exécution des mesures administratives (art. 101 lit. c OJ, art. 24 al. 2 in fine LCR), l'admission d'une demande en exécution différée ou fractionnée de la mesure de retrait n'est envisageable qu'aux conditions suivantes : il n'y a pas d'urgence à l'exécution de la mesure en regard de son but éducatif; il n'existe pas un risque réel de récidive; le motif invoqué est suffisant et non de pure commodité; le dépôt du permis doit intervenir dans une période relativement brève; le retrait du permis n'a pas été prononcé pour une courte durée. 5.                     Le Tribunal administratif a récemment changé sa jurisprudence qui excluait le fractionnement des mesures de retrait de permis et décidé de faire sienne celle du DETEC, de sorte qu'il admet désormais, sur le principe en tout cas, la possibilité d'une exécution fractionnée du retrait du permis de conduire (arrêt CR 01/0370 du 9 juillet 2002). Dans cet arrêt, le tribunal s'est refusé toutefois à fixer des critères trop schématiques ou abstraits s'agissant des conditions permettant l'admission d'une demande de fractionnement, préférant examiner chaque recours à la lumière de toutes les circonstances du cas d'espèce : en effet, il a jugé qu'il ne faut pas perdre de vue que, comme pour la question du report d'exécution, la question du fractionnement doit être examinée sous l'angle du principe de la proportionnalité, en ce sens qu'il faut éviter d'ordonner une mesure qui toucherait l'intéressé de manière excessive (ATF 120 Ib 509 et ATF 126 II 196 déjà cité). Pour en juger, les critères utilisés par la jurisprudence connue à ce jour ne paraissent pas tous d'une grande utilité. C'est ainsi que l'urgence à l'exécution d'une mesure sera généralement réalisée puisqu'on admet qu'une mesure doit être exécutée le plus rapidement possible; subordonner le fractionnement à l'absence d'urgence pourrait aboutir à ne jamais l'accorder. Quant au risque de récidive, il ne pourra guère être nié puisque le retrait de permis vise précisément à le prévenir et s'il devait paraître particulièrement important, la question d'un retrait de sécurité pour inaptitude caractérielle devrait être examinée préalablement. Enfin et surtout, la gravité de la faute et les antécédents, qui sont censés avoir déjà été pris en considération lors de la fixation de la durée du retrait, ne paraissent pas constituer un critère approprié pour accorder ou refuser le fractionnement; en effet, les mesures pour lesquelles se pose la question d'un éventuel fractionnement sont en général d'une certaine durée. Or celle-ci est motivée précisément par la faute, souvent assez grave et les antécédents, en général chargés, du conducteur concerné. Réserver le fractionnement aux cas de faute légère commise avec des bons antécédents reviendrait aussi à ne jamais l'accorder. 6.                     En l'espèce, le recourant fait valoir que sa place d'apprentissage, récemment obtenue, serait mise en péril par la mesure litigieuse. D'après les pièces produites et les déclarations recueillies en audience, le maître d'apprentissage du recourant menace de mettre fin au contrat si la mesure de retrait ne peut pas être exécutée en deux périodes de trois mois durant les périodes creuses de l'année, car il est indispensable à la bonne marche du garage que son apprenti puisse conserver son permis de conduire durant les périodes florissantes de l'année pour chercher des pièces, conduire les voitures des clients, etc. Les conséquences qui menacent le recourant en cas d'exécution ininterrompue du retrait de permis litigieux sont assurément graves. En effet, la situation professionnelle du recourant, qui vient d'entamer un apprentissage à l'âge de vingt ans, paraît encore fragile. On peut craindre effectivement que son employeur n'hésitera guère à mettre à exécution sa menace de licenciement en cas d'exécution du retrait de permis en dehors des périodes de ralentissement annuelles dans la branche automobile. On se trouve donc en présence d'une situation particulière où les conséquences excessives de la mesure de retrait de permis peuvent précisément être évitées par l'octroi de la possibilité d'exécuter le retrait de manière fractionnée en deux périodes de trois mois. On ajoutera que le fractionnement de l'exécution de la mesure, s'il avantage le recourant en ménageant son avenir professionnel, a néanmoins pour effet d'aggraver sa situation du point de vue des antécédents. En effet, le délai de récidive en cas de nouvelle infraction (art. 17 al. 1 lit. c et d LCR) ne courra qu'après l'achèvement de la seconde partie de la mesure, ce qui a finalement pour conséquence de renforcer l'effet admonitoire et préventif de la mesure. 7.                     Au vu de ce qui précède, le recours est partiellement admis et un émolument partiel sera mis à la charge du recourant. La décision attaquée est réformée en ce sens que la mesure de retrait du permis de conduire de six mois sera exécutée en deux périodes de trois mois, un délai au 31 décembre 2002 au plus tard étant imparti au recourant pour déposer son permis pour l'exécution de la première partie du retrait, tandis qu'un délai au 15 juillet 2002 au plus tard lui est imparti pour déposer son permis pour l'exécution du solde de la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