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CR.2002.0199 vom 7. Januar 2004</w:t>
      </w:r>
    </w:p>
    <w:p>
      <w:r>
        <w:t>VD Tribunal cantonal, 2004-01-07, FR</w:t>
      </w:r>
    </w:p>
    <w:p>
      <w:r>
        <w:rPr>
          <w:b/>
        </w:rPr>
        <w:t xml:space="preserve">Quelle: </w:t>
      </w:r>
      <w:r>
        <w:t>https://mcp.opencaselaw.ch/entscheid/vd_omni_CR.2002.0199</w:t>
      </w:r>
    </w:p>
    <w:p>
      <w:r>
        <w:t>FR: VD_OMNI CR.2002.0199 du 7 janvier 2004</w:t>
      </w:r>
    </w:p>
    <w:p>
      <w:r>
        <w:t>IT: VD_OMNI CR.2002.0199 del 7 gennaio 2004</w:t>
      </w:r>
    </w:p>
    <w:p>
      <w:pPr>
        <w:pStyle w:val="Heading2"/>
      </w:pPr>
      <w:r>
        <w:t>Regeste</w:t>
      </w:r>
    </w:p>
    <w:p>
      <w:r>
        <w:t>c/SA | Le recourant, inattentif, de nuit, bifurque à gauche et heurte un motocycliste qui remontait en sens inverse derrière une colonne de véhicules. Faute de moyenne gravité. Retrait du permis d'un mois confirmé malgré les bons antécédents.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janvier 2001, pouvait se prévaloir de bons antécédents (cf. CR 2002/0096 du</w:t>
      </w:r>
    </w:p>
    <w:p>
      <w:r>
        <w:rPr>
          <w:b/>
        </w:rPr>
        <w:t>E. 23</w:t>
      </w:r>
    </w:p>
    <w:p>
      <w:r>
        <w:t>janvier 2003 et les références citées). La qualification des faits dépend en effet de l'acte commis, et les antécédents ne jouent à ce stade aucun rôle (SJ 1992 p. 613). 5.                     Le recourant, actuellement sans emploi, ne peut se prévaloir d'une utilité professionnelle significative du permis au sens que la jurisprudence donne à ce critère (cf. arrêt du Tribunal fédéral du 24 janvier 1997, 6A.103/1996, in AJP 5/97 p. 612; cf. CR 2002/0262 du 28 février 2003 qui parle d'utilité professionnelle très réduite pour un rentier AI). De toute manière, prononcée pour la durée légale minimale d'un mois (art. 17 al. 1 lettre a LCR) la mesure prononcée ne peut qu'être confirmée. 6.                     Il résulte de ce qui précède que le recours est rejeté. Un émolument de justice est mis à la charge du recourant; vu le sort du recours, il n'a pas droit à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