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CR.2002.0176 vom 20. Januar 2004</w:t>
      </w:r>
    </w:p>
    <w:p>
      <w:r>
        <w:t>VD Tribunal cantonal, 2004-01-20, FR</w:t>
      </w:r>
    </w:p>
    <w:p>
      <w:r>
        <w:rPr>
          <w:b/>
        </w:rPr>
        <w:t xml:space="preserve">Quelle: </w:t>
      </w:r>
      <w:r>
        <w:t>https://mcp.opencaselaw.ch/entscheid/vd_omni_CR.2002.0176</w:t>
      </w:r>
    </w:p>
    <w:p>
      <w:r>
        <w:t>FR: VD_OMNI CR.2002.0176 du 20 janvier 2004</w:t>
      </w:r>
    </w:p>
    <w:p>
      <w:r>
        <w:t>IT: VD_OMNI CR.2002.0176 del 20 gennaio 2004</w:t>
      </w:r>
    </w:p>
    <w:p>
      <w:pPr>
        <w:pStyle w:val="Heading2"/>
      </w:pPr>
      <w:r>
        <w:t>Regeste</w:t>
      </w:r>
    </w:p>
    <w:p>
      <w:r>
        <w:t>c/SA | Jeune conducteur interpellé en possession de cannabis et dont la dernière consommation de cette drogue remonte à la veille au soir. Les faibles taux de THC mesurés ne suffisent pas à établir un risque de dépendance ou d'incapacité à tracer une limite nette entre consommation et conduite tel qu'un retrait préventif s'impose. Toutefois, une consommation presque quotidienne avérée justifie des examens médicaux auprès de l'UMTR.</w:t>
      </w:r>
    </w:p>
    <w:p>
      <w:pPr>
        <w:pStyle w:val="Heading2"/>
      </w:pPr>
      <w:r>
        <w:t>Erwägungen</w:t>
      </w:r>
    </w:p>
    <w:p>
      <w:r>
        <w:rPr>
          <w:b/>
        </w:rPr>
        <w:t>E. 18</w:t>
      </w:r>
    </w:p>
    <w:p>
      <w:r>
        <w:t>décembre 1989 sur la juridiction et la procédure administrative (LJPA). Il y a donc lieu d'entrer en matière. 2.                     En vertu des art. 14 al. 2 lit. c et 16 al. 1 LCR, le permis de conduire doit être retiré aux conducteurs qui s'adonnent à la boisson ou à d'autres formes de toxicomanie pouvant diminuer leur aptitude à conduire.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3.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justifie seulement le retrait préventif du permis de conduire pendant la durée de l'instruction (ATF 124 II 559; ATF 127 II 122). Il résulte des mêmes arrêts qu'une consommation régulière de drogue, susceptible par sa fréquence et l'importance des quantités consommées de diminuer l'aptitude à conduire, doit être assimilée à une dépendance de la drogue. Par ailleurs, ces arrêts insistent sur le fait que l'aptitude à la conduite n'est plus suffisante lorsque l'intéressé n'est plus en mesure de tracer une limite nette entre sa consommation de haschisch et la conduite automobile, soit lorsque le danger existe qu'il prenne le volant après avoir fumé abondamment. 4.                     Dans ses déclarations à la police bernoise, X.________ a admis fumer presque quotidiennement un joint de marijuana depuis environ un an, le dernier remontant au soir (env. 22h00) précédant son interpellation. a) Le rapport de l'IRM du 7 août 2002 indique que l'examen immunologique des échantillons d'urine et de sang prélevés ont fourni des indices de consommation de cannabis (0,7 ng/l de THC, principe actif du cannabis, et 21,1 ng d'acide THC ou THCCOOH, produit de dégradation du THC). Il précise qu'en raison des deux heures et demi écoulées entre l'interpellation du recourant et la prise de sang, le taux de THC a très vraisemblablement diminué. D'un point de vue toxico-judiciaire, l'IRM tient pour hautement probable une incapacité de conduite due au cannabis au moment de l'interpellation, mais il ne peut le prouver indubitablement. Dans son second rapport du 23 janvier 2003, l'IRM expose que les résultats d'analyse démontrent une consommation de cannabis qui devrait avoir eu lieu entre 4 et 6 heures avant la prise de sang, les déclarations du recourant selon lesquelles il aurait fumé pour la dernière fois la nuit précédente n'apparaissant pas dignes de foi. Ces résultats ne lui permettent toutefois pas déterminer si le recourant a fumé un joint avant, pendant ou après le trajet jusqu'à Berne. Ainsi ces rapports ne permettent pas de savoir si, au moment de reprendre le volant, le recourant était ou non apte à la conduite. A tout le moins, le taux de THC actif au moment de la prise de sang n'est pas significatif. b) A plus forte raison, on ne saurait déduire d'une probable intoxication momentanée du recourant, un soupçon de dépendance si fort qu'il justifierait de le retirer immédiatement de la circulation, avant toute mesure d'instruction, ce d'autant moins que le cannabis n'entraîne pas de dépendance physique (ATF 124 II 559). Le Tribunal fédéral a d'ailleurs jugé que le fait que tous les tests d'urine d'une personne soient positifs au THC constituait certes un indice que l'intéressé ne pouvait mettre fin de lui-même à sa consommation de drogues, mais qu'en l'absence d'autres indices parlant en faveur d'une toxicomanie, il n'était pas possible de conclure à l'existence d'une dépendance (arrêt non publié L. du 31 janvier 1996). En l'occurrence, X.________ n'a fait l'objet que d'une analyse de sang et d'urine, qui fait apparaître un produit de dégradation du THC et des traces de THC. Les faibles taux mesurés (21,1 ng/l de THCCOOH et 0,7 ng/l de THC) ne révèlent en outre pas une consommation importante (2 à 3 ng/l six heures après une inhalation, selon une étude de McBurney, Bobbie et Sepp in J Anal Toxicol ,1986). Ces seules indications ne suffisent pas à établir un risque de dépendance ou d'incapacité à tracer une limite nette entre consommation de haschisch et la conduite automobile tels qu'une intervention urgente, sous la forme d'un retrait préventif, s'impose. c) Cela dit, du moment que le recourant admet une consommation presque quotidienne - et comme le recommande l'IRM dans ses deux rapports - il convient que le recourant se soumette à des examens médicaux auprès de l'UMTR. 5.                     Le recourant obtenant l'admission de ses conclusions, les frais seront laissés à la charge de l'Etat. Ayant procédé avec l'aide d'un agent d'affaires, il a également droit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