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CR.2002.0121 vom 10. März 2003</w:t>
      </w:r>
    </w:p>
    <w:p>
      <w:r>
        <w:t>VD Tribunal cantonal, 2003-03-10, FR</w:t>
      </w:r>
    </w:p>
    <w:p>
      <w:r>
        <w:rPr>
          <w:b/>
        </w:rPr>
        <w:t xml:space="preserve">Quelle: </w:t>
      </w:r>
      <w:r>
        <w:t>https://mcp.opencaselaw.ch/entscheid/vd_omni_CR.2002.0121</w:t>
      </w:r>
    </w:p>
    <w:p>
      <w:r>
        <w:t>FR: VD_OMNI CR.2002.0121 du 10 mars 2003</w:t>
      </w:r>
    </w:p>
    <w:p>
      <w:r>
        <w:t>IT: VD_OMNI CR.2002.0121 del 10 marzo 2003</w:t>
      </w:r>
    </w:p>
    <w:p>
      <w:pPr>
        <w:pStyle w:val="Heading2"/>
      </w:pPr>
      <w:r>
        <w:t>Regeste</w:t>
      </w:r>
    </w:p>
    <w:p>
      <w:r>
        <w:t>c/SA | Inattention en quittant un "Stop" et collision avec une cycliste. Même si la configuration des lieux (croisement à angle droit de deux artères rectilignes, relativement étroites, où la circulation peut être importante suivant les heures) réclame une prudence et une attention accrues et que la faute commise par la conductrice peut en l'espèce être qualifiée de peu de gravité, il ne peut être fait abstraction de toute mesure administrative. Avertissement confirmé.</w:t>
      </w:r>
    </w:p>
    <w:p>
      <w:pPr>
        <w:pStyle w:val="Heading2"/>
      </w:pPr>
      <w:r>
        <w:t>Erwägungen</w:t>
      </w:r>
    </w:p>
    <w:p>
      <w:r>
        <w:rPr>
          <w:b/>
        </w:rPr>
        <w:t>E. 38</w:t>
      </w:r>
    </w:p>
    <w:p>
      <w:r>
        <w:t>et 55 de la loi sur la juridiction et la procédure administratives du 18 décembre 1989 (LJPA), un émolument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