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CR.2002.0115 vom 2. Oktober 2002</w:t>
      </w:r>
    </w:p>
    <w:p>
      <w:r>
        <w:t>VD Tribunal cantonal, 2002-10-02, FR</w:t>
      </w:r>
    </w:p>
    <w:p>
      <w:r>
        <w:rPr>
          <w:b/>
        </w:rPr>
        <w:t xml:space="preserve">Quelle: </w:t>
      </w:r>
      <w:r>
        <w:t>https://mcp.opencaselaw.ch/entscheid/vd_omni_CR.2002.0115</w:t>
      </w:r>
    </w:p>
    <w:p>
      <w:r>
        <w:t>FR: VD_OMNI CR.2002.0115 du 2 octobre 2002</w:t>
      </w:r>
    </w:p>
    <w:p>
      <w:r>
        <w:t>IT: VD_OMNI CR.2002.0115 del 2 ottobre 2002</w:t>
      </w:r>
    </w:p>
    <w:p>
      <w:pPr>
        <w:pStyle w:val="Heading2"/>
      </w:pPr>
      <w:r>
        <w:t>Regeste</w:t>
      </w:r>
    </w:p>
    <w:p>
      <w:r>
        <w:t>c/SA | Surcharge d'une voiture de livraison. Pas un cas de peu de gravité. Retrait de permis d'un mois confirmé.</w:t>
      </w:r>
    </w:p>
    <w:p>
      <w:pPr>
        <w:pStyle w:val="Heading2"/>
      </w:pPr>
      <w:r>
        <w:t>Erwägungen</w:t>
      </w:r>
    </w:p>
    <w:p>
      <w:r>
        <w:rPr>
          <w:b/>
        </w:rPr>
        <w:t>E. 1</w:t>
      </w:r>
    </w:p>
    <w:p>
      <w:r>
        <w:t>LCR). Il admet d'ailleurs lui-même qu'il a été condamné à raison de ce fait à une amende de 500 francs. La responsabilité éventuelle de son supérieur en tant que coauteur (selon l'art. 96 chiffre 3 LCR), est indépendante de la sienne qui n'est de toute manière pas exclue de ce fait. Dans le cas particulier, l'enquête de police n'a d'ailleurs pas mis en lumière une telle hypothèse, mais comme on l'a vu cette circonstance n'est toutefois pas décisive et peut rester irrésolue. Le comportement du recourant étant imputable à faute, il faut examiner si une mesure de retrait de permis d'un mois se justifie. 3.                     a) Selon l'art. 16 al.</w:t>
      </w:r>
    </w:p>
    <w:p>
      <w:r>
        <w:rPr>
          <w:b/>
        </w:rPr>
        <w:t>E. 2</w:t>
      </w:r>
    </w:p>
    <w:p>
      <w:r>
        <w:t>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Un retrait de permis obligatoire au sens de l'art. 16 al. 3 lit. a LCR présuppose, outre une mise en danger grave, la commission d'une faute grave (ATF 105 Ib 118, JT 1979 I 404).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Le recourant plaide en l'occurrence le prononcé d'un avertissement à titre subsidiaire. b)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 Le recourant ne pouvait pas ignorer que sa camionnette avait un chargement dépassant très largement la limite autorisée. Il ne prétend d'ailleurs pas qu'il n'en avait pas conscience en procédure. Cette surcharge massive n'a également pas échappé aux gendarmes dont l'attention a été attirée par la camionnette "lourdement chargée", selon leur rapport. Au regard de l'importance du dépassement de plus de 38 % de la charge maximale autorisée, la faute ne paraît pas subjectivement légère. Elle l'est d'autant moins que la charge n'était pas bien répartie puisqu'elle était supportée de manière excessive par l'essieu arrière de la camionnette. Cette situation comportait un risque évident d'éclatement des pneumatiques et par conséquent de perte de maîtrise du véhicule. Le recourant n'a néanmoins pas renoncé à prendre ce risque et accepté pour le cas où elle se produirait, de créer une situation dangereuse pour la sécurité du trafic, de surcroît sur l'autoroute, ce qui constitue une circonstance aggravante. Ces éléments ne permettent pas de qualifier la faute commise de légère. Au contraire, ils mettent en évidence un manquement d'une gravité certaine. La faute n'étant clairement pas bénigne, le prononcé d'un avertissement est exclu puisque la première condition posée par l'art. 31 al. 2 OAC n'est déjà pas remplie. En conclusion, une mesure de retrait de permis d'un mois, soit pour la durée minimale prévue par l'art. 17 al. 1 lit. a LCR fondée sur l'art. 16 al. 2 LCR est adéquate. Elle est confirmée. 4.                     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