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CR.2002.0111 vom 31. Dezember 2002</w:t>
      </w:r>
    </w:p>
    <w:p>
      <w:r>
        <w:t>VD Tribunal cantonal, 2002-12-31, FR</w:t>
      </w:r>
    </w:p>
    <w:p>
      <w:r>
        <w:rPr>
          <w:b/>
        </w:rPr>
        <w:t xml:space="preserve">Quelle: </w:t>
      </w:r>
      <w:r>
        <w:t>https://mcp.opencaselaw.ch/entscheid/vd_omni_CR.2002.0111</w:t>
      </w:r>
    </w:p>
    <w:p>
      <w:r>
        <w:t>FR: VD_OMNI CR.2002.0111 du 31 décembre 2002</w:t>
      </w:r>
    </w:p>
    <w:p>
      <w:r>
        <w:t>IT: VD_OMNI CR.2002.0111 del 31 dicembre 2002</w:t>
      </w:r>
    </w:p>
    <w:p>
      <w:pPr>
        <w:pStyle w:val="Heading2"/>
      </w:pPr>
      <w:r>
        <w:t>Regeste</w:t>
      </w:r>
    </w:p>
    <w:p>
      <w:r>
        <w:t>c/SA | Même lorsque les conditions de la circulation sont favorables et que le conducteur jouit d'une bonne réputation en tant qu'automobiliste, un excès de vitesse de 16 km/h en localité entraîne un avertissement (cas de peu de gravité).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et 55 de la loi sur la juridiction et la procédure administratives du 18 décembre 1989 (LJPA), un émolument sera mis à la charge du recourant débouté.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