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CR.2002.0108 vom 14. November 2002</w:t>
      </w:r>
    </w:p>
    <w:p>
      <w:r>
        <w:t>VD Tribunal cantonal, 2002-11-14, FR</w:t>
      </w:r>
    </w:p>
    <w:p>
      <w:r>
        <w:rPr>
          <w:b/>
        </w:rPr>
        <w:t xml:space="preserve">Quelle: </w:t>
      </w:r>
      <w:r>
        <w:t>https://mcp.opencaselaw.ch/entscheid/vd_omni_CR.2002.0108</w:t>
      </w:r>
    </w:p>
    <w:p>
      <w:r>
        <w:t>FR: VD_OMNI CR.2002.0108 du 14 novembre 2002</w:t>
      </w:r>
    </w:p>
    <w:p>
      <w:r>
        <w:t>IT: VD_OMNI CR.2002.0108 del 14 novembre 2002</w:t>
      </w:r>
    </w:p>
    <w:p>
      <w:pPr>
        <w:pStyle w:val="Heading2"/>
      </w:pPr>
      <w:r>
        <w:t>Regeste</w:t>
      </w:r>
    </w:p>
    <w:p>
      <w:r>
        <w:t>c/ SA | Confirmation d'un retrait d'un mois pour un excès de vitesse de 16 km/h en localité commis moins de deux ans après un précédent retrait, lui-même précédé d'un avertissement prononcé quelques mois auparavant, tous pour excès de viteses. Les mauvais antécédents du recourant ne permettent pas de considérer le cas comme un cas de peu de gravité. Question de savoir si le fait d'avoir commis une nouvelle infraction dans les deux ans suivant l'échéance d'un précédent retrait empêche de considérer le cas comme de peu de gravité laissée ouverte.</w:t>
      </w:r>
    </w:p>
    <w:p>
      <w:pPr>
        <w:pStyle w:val="Heading2"/>
      </w:pPr>
      <w:r>
        <w:t>Erwägungen</w:t>
      </w:r>
    </w:p>
    <w:p>
      <w:r>
        <w:rPr>
          <w:b/>
        </w:rPr>
        <w:t>E. 2</w:t>
      </w:r>
    </w:p>
    <w:p>
      <w:r>
        <w:t>LCR. 4.                     La mesure de retrait ordonnée pour la durée minimale d'un mois prévue par l'art. 17 al. 1 lit. a LCR doit ainsi être confirmée, sans qu'il soit nécessaire d'examiner l'utilité que revêt pour l'intéressé la possession de son permis. En effet, la jurisprudence du Tribunal fédéral a précisé que le critère de l'utilité professionnelle n'entre pas en ligne de compte lorsqu'il s'agit de choisir entre une mesure de retrait du permis ou un simple avertissement. L'utilité professionnelle n'intervient que pour fixer la durée de la mesure, les chauffeurs professionnels étant plus gravement touchés par un retrait, même s'il est de courte durée. En revanche, une infraction donnée ne peut pas être considérée comme moins grave du seul fait qu'elle a été commise par un conducteur qui utilise professionnellement son permis de conduire. Il serait donc contraire à l'égalité de traitement qu'un conducteur professionnel ne puisse encourir un retrait de permis que s'il commet une infraction grave (ATF 105 Ib 255). Au vu de ce qui précède, la décision attaquée doit être confirmée et le recours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