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CR.2002.0073 vom 22. Oktober 2002</w:t>
      </w:r>
    </w:p>
    <w:p>
      <w:r>
        <w:t>VD Tribunal cantonal, 2002-10-22, FR</w:t>
      </w:r>
    </w:p>
    <w:p>
      <w:r>
        <w:rPr>
          <w:b/>
        </w:rPr>
        <w:t xml:space="preserve">Quelle: </w:t>
      </w:r>
      <w:r>
        <w:t>https://mcp.opencaselaw.ch/entscheid/vd_omni_CR.2002.0073</w:t>
      </w:r>
    </w:p>
    <w:p>
      <w:r>
        <w:t>FR: VD_OMNI CR.2002.0073 du 22 octobre 2002</w:t>
      </w:r>
    </w:p>
    <w:p>
      <w:r>
        <w:t>IT: VD_OMNI CR.2002.0073 del 22 ottobre 2002</w:t>
      </w:r>
    </w:p>
    <w:p>
      <w:pPr>
        <w:pStyle w:val="Heading2"/>
      </w:pPr>
      <w:r>
        <w:t>Regeste</w:t>
      </w:r>
    </w:p>
    <w:p>
      <w:r>
        <w:t>c/SA | En négligeant de se prémunir contre une mise en mouvement fortuite de son véhicule qui paraissait peu probable vu la faible déclivité de la pente, le recourant n'a commis qu'une faute légère. Au vu de son excellente réputation en tant que conducteur et à l'instar du juge pénal qui s'est montré clément en prononçant une amende minime, le tribunal considère que le cas constitue un cas de peu de gravité, de sorte qu'un avertissement doit être prononcé en lieu et place d'un retrait de permis. Recours admis.</w:t>
      </w:r>
    </w:p>
    <w:p>
      <w:pPr>
        <w:pStyle w:val="Heading2"/>
      </w:pPr>
      <w:r>
        <w:t>Erwägungen</w:t>
      </w:r>
    </w:p>
    <w:p>
      <w:r>
        <w:rPr>
          <w:b/>
        </w:rPr>
        <w:t>E. 16</w:t>
      </w:r>
    </w:p>
    <w:p>
      <w:r>
        <w:t>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le retrait du permis de conduire est obligatoire en application de l'art. 16 al. 3 let. a LCR (ATF 123 II 109 consid. 2a). Pour déterminer si le cas est de peu de gravité selon l'art. 16 al. 2 LCR, il faut prendre en considération la gravité de la faute commise et la réputation du contrevenant en tant que conducteur de véhicules automobiles (art. 31 al. 2 OAC). La gravité de la mise en danger du trafic n'est prise en compte que dans la mesure où elle est significative pour la faute; ainsi, lorsque la faute est légère et que le contrevenant jouit depuis longtemps d'une réputation sans taches en tant que conducteur, le prononcé d'un simple avertissement n'est pas exclu même si l'atteinte à la sécurité de la route a été grave (ATF 125 II 561). 2.                     L'art. 37 al. 3 LCR prévoit que le conducteur ne peut quitter son véhicule sans avoir pris les précautions commandées par les circonstances. L'art. 22 al. 1 OCR précise à cet égard que le conducteur qui quitte son véhicule doit en arrêter le moteur. Avant de s'éloigner, il se garantira contre une mise en mouvement fortuite ou un usage illicite du véhicule. A teneur de l'art. 22 al. 2 OCR, sur les déclivités, le conducteur serrera le frein et prendra encore une seconde mesure de sécurité propre à maintenir le véhicule à l'arrêt, notamment en engageant le rapport inférieur de la boîte de vitesses ou en dirigeant les roues vers un obstacle situé au bord de la chaussée. 2.                     Peu importe de savoir si, comme le prétend le recourant, il a tiré complètement ou seulement légèrement le frein à main (même si son explication technique au sujet du possible desserrement du frein à main paraît plausible et ne peut donc pas être totalement exclue) : en effet, en quittant son véhicule sans avoir pris les précautions commandées par les circonstances, soit en l'espèce en omettant d'engager le rapport inférieur de la boîte de vitesses de sa voiture, alors qu'elle était stationnée sur une rue en pente, il a enfreint les dispositions précitées. Dans son recours, le recourant admet d'ailleurs formellement avoir commis une faute de circulation. Ne pas engager le rapport inférieur de la boîte de vitesses avant de quitter son véhicule stationné sur une route en pente contrevient certes aux règles de prudence essentielles que se doit de respecter tout conducteur quittant son véhicule, mais ne relève cependant pas d'une violation intentionnelle et grossière d'une règle de circulation. A cet égard, le tribunal, qui connaît parfaitement les lieux, constate que la portion de la rue des Terreaux où se trouve la zone bleue, juste au dessus de son débouché sur la Grand-Rue, ne présente qu'une faible déclivité; la voiture du recourant (qui devait vraisemblablement être stationnée en première position dans la zone bleue), n'a donc pas pu atteindre une vitesse élevée, vu la faible déclivité, ce qui explique qu'elle n'a subi que de légers dégâts. Vu la configuration des lieux, le risque de mise en mouvement fortuite du véhicule était plus faible que sur une route à forte pente. En négligeant de se prémunir contre une mise en mouvement fortuite de son véhicule qui paraissait peu probable vu la faible déclivité de la pente, le recourant n'a commis en définitive qu'une faute légère. Compte tenu de son excellente réputation en tant que conducteur (aucune inscription au fichier des mesures administratives en plus de quarante ans de conduite) et, à l'instar du juge pénal qui s'est montré clément en prononçant une amende minime, le tribunal de céans considère que les faits reprochés au recourant constituent un cas de peu de gravité au sens de l'art. 16 al. 2 LCR. Dès lors, en vertu de l'art. 31 al. 2 OAC, seul un avertissement doit être prononcé à l'encontre du recourant. On relèvera d'ailleurs que, dans un arrêt CR 95/330 du 7 mai 1996, le tribunal de céans a confirmé un simple avertissement prononcé par l'autorité intimée contre un conducteur n'ayant pas placé le levier de la boîte de vitesses automatique de son véhicule sur la position "parking" et n'ayant pas tiré son frein à main, ce qui avait entraîné la mise en mouvement fortuite de son véhicule. En l'espèce, on ne voit pas quelles circonstances défavorables commanderaient de prononcer une mesure de retrait du permis de conduire plutôt qu'un avertissement. 3.                     Au vu de ce qui précède, la décision attaquée sera donc réformée en ce sens qu'un avertissement est prononcé à l'encontre du recourant en lieu et place d'un retrait du permis de conduire. Le recours est ainsi admis sans frais pour le recourant qui a droit à des dépens, ayant procédé avec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