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CR.2002.0046 vom 22. Januar 2003</w:t>
      </w:r>
    </w:p>
    <w:p>
      <w:r>
        <w:t>VD Tribunal cantonal, 2003-01-22, FR</w:t>
      </w:r>
    </w:p>
    <w:p>
      <w:r>
        <w:rPr>
          <w:b/>
        </w:rPr>
        <w:t xml:space="preserve">Quelle: </w:t>
      </w:r>
      <w:r>
        <w:t>https://mcp.opencaselaw.ch/entscheid/vd_omni_CR.2002.0046</w:t>
      </w:r>
    </w:p>
    <w:p>
      <w:r>
        <w:t>FR: VD_OMNI CR.2002.0046 du 22 janvier 2003</w:t>
      </w:r>
    </w:p>
    <w:p>
      <w:r>
        <w:t>IT: VD_OMNI CR.2002.0046 del 22 gennaio 2003</w:t>
      </w:r>
    </w:p>
    <w:p>
      <w:pPr>
        <w:pStyle w:val="Heading2"/>
      </w:pPr>
      <w:r>
        <w:t>Regeste</w:t>
      </w:r>
    </w:p>
    <w:p>
      <w:r>
        <w:t>c/SA | Une mauvaise compréhension du français n'explique pas un certain nombre de manquements constatés chez le recourant, qui suffisent à établir son inaptitude. Aucun motif de mettre en doute l'appréciation de l'expert.</w:t>
      </w:r>
    </w:p>
    <w:p>
      <w:pPr>
        <w:pStyle w:val="Heading2"/>
      </w:pPr>
      <w:r>
        <w:t>Erwägungen</w:t>
      </w:r>
    </w:p>
    <w:p>
      <w:r>
        <w:rPr>
          <w:b/>
        </w:rPr>
        <w:t>E. 18</w:t>
      </w:r>
    </w:p>
    <w:p>
      <w:r>
        <w:t>décembre 1989 sur la juridiction et la procédure administratives (LJPA). Il y a donc lieu d'entrer en matière. 2.                     L'art. 42 de l'ordonnance réglant l'admission des personnes et des véhicules à la circulation routière (ci-après: OAC) dispose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 bis lit.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Si l'intéressé échoue, le permis de conduire suisse lui sera retiré ou l'usage du permis de conduire étranger lui sera interdit. Il peut demander un permis d'élève conducteur (art. 24a al. 2 OAC). Tout au plus faut-il réserver l'hypothèse où le déroulement de la course de contrôle serait entaché d'irrégularités et où des éléments objectifs seraient de nature à mettre en doute l'impartialité et l'objectivité de l'expert. 3.                     Le tribunal a déjà jugé à plusieurs reprises qu'il n'était pas en mesure de substituer son appréciation à celle de l'expert du Service des automobiles et qu'il ne fallait par conséquent pas procéder sans examen à l'échange d'un permis de conduire étranger contre un permis suisse lorsque les résultats de la course de contrôle étaient insuffisants (dans ce sens notamment arrêt CR 01/0196 du 15 janvier 2002 et les arrêts cités). Déterminer la capacité d'une personne à conduire un véhicule suppose en effet des connaissances techniques spéciales, raison pour laquelle on recourt à des spécialistes qui, en raison de leurs connaissances et de leur expérience, sont spécialement aptes à faire passer ces examens (arrêt CR 92/347 du 17 février 1993). En l'espèce, X.________ ne précise pas en quoi la course de contrôle a été irrégulière et ne donne aucun élément qui permette de remettre en cause l'appréciation de l'inspecteur ou qui justifie de qualifier d'arbitraire la décision du Service des automobiles. Le recourant a exposé, dans une lettre adressée au Service des automobiles à la suite de la course de contrôle, qu'il lui était injustement reproché de ne pas avoir suivi les directions indiquées dès lors qu'il parle très mal le français. De même, en dépassant un camion à 85 km/h sur l'autoroute, il aurait fait preuve de prudence. Si l'on considère comme excusables l'extrême prudence et les difficultés linguistiques du recourant, il n'en demeure pas moins que ces facteurs ont un caractère secondaire. En effet, le procès-verbal d'examen fait état de nombreuses fautes de circulation, qui ont justifié à elles seules l'appréciation négative de l'expert. Ainsi, en omettant toutes les erreurs qui pourraient être liées à une mauvaise compréhension linguistique, tel que le manque d'anticipation et de sûreté, l'action tardive ou l'observation de la signalisation, il n'en demeure pas moins que les manquements subsistants sont imputables à une connaissance des règles et à une technique de conduite défaillantes, dont l'ampleur et le nombre suffisent, au regard des directives de l'Association des services des automobiles, à confirmer les conclusions de l'inspecteur (v. directives no19, "Course de contrôle et examen complémentaire", ASA, p.6). Dès lors, l'ensemble des manquements reprochés au recourant et leur importance, ainsi que son comportement, démontre sans doute possible sa méconnaissance des règles de la circulation et son inaptitude à conduire d'une façon sûre un véhicule automobile. Dans ces circonstances le Service des automobiles était fondé à refuser l'échange sans examen du permis de conduire du recourant et, sur la base des art. 14 et 16 LCR, à lui interdire de conduire pour une durée indéterminée dès et y compris le 14 mai 2001, en Suisse et sur le territoire de la Principauté du Liechtenstein, en se prévalant de son permis de conduire étranger. 3.                     Conformément aux art. 38 et 55 de la loi sur la juridiction et la procédure administratives du 18 décembre 1989 (LJPA), un émolument, ainsi que les frais de l'interprète convoqué inutilement à la demande du recourant, seront mis à la charge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