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CR.2002.0029 vom 30. Mai 2002</w:t>
      </w:r>
    </w:p>
    <w:p>
      <w:r>
        <w:t>VD Tribunal cantonal, 2002-05-30, FR</w:t>
      </w:r>
    </w:p>
    <w:p>
      <w:r>
        <w:rPr>
          <w:b/>
        </w:rPr>
        <w:t xml:space="preserve">Quelle: </w:t>
      </w:r>
      <w:r>
        <w:t>https://mcp.opencaselaw.ch/entscheid/vd_omni_CR.2002.0029</w:t>
      </w:r>
    </w:p>
    <w:p>
      <w:r>
        <w:t>FR: VD_OMNI CR.2002.0029 du 30 mai 2002</w:t>
      </w:r>
    </w:p>
    <w:p>
      <w:r>
        <w:t>IT: VD_OMNI CR.2002.0029 del 30 maggio 2002</w:t>
      </w:r>
    </w:p>
    <w:p>
      <w:pPr>
        <w:pStyle w:val="Heading2"/>
      </w:pPr>
      <w:r>
        <w:t>Regeste</w:t>
      </w:r>
    </w:p>
    <w:p>
      <w:r>
        <w:t>c/ SA | Le recourant, insuffisamment attentif, coupe la route à un enfant en bifurquant à gauche; choc latéral; pas un cas de peu de gravité. Interdiction de conduire en Suisse, pour la durée d'un mois, confirmée.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lettre a LCR, la mesure attaquée doit donc être confirmée. 5.                     Le recours est rejeté. Un émolument de justice est mis à la charge du recourant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