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CR.2002.0002 vom 17. April 2002</w:t>
      </w:r>
    </w:p>
    <w:p>
      <w:r>
        <w:t>VD Tribunal cantonal, 2002-04-17, FR</w:t>
      </w:r>
    </w:p>
    <w:p>
      <w:r>
        <w:rPr>
          <w:b/>
        </w:rPr>
        <w:t xml:space="preserve">Quelle: </w:t>
      </w:r>
      <w:r>
        <w:t>https://mcp.opencaselaw.ch/entscheid/vd_omni_CR.2002.0002</w:t>
      </w:r>
    </w:p>
    <w:p>
      <w:r>
        <w:t>FR: VD_OMNI CR.2002.0002 du 17 avril 2002</w:t>
      </w:r>
    </w:p>
    <w:p>
      <w:r>
        <w:t>IT: VD_OMNI CR.2002.0002 del 17 aprile 2002</w:t>
      </w:r>
    </w:p>
    <w:p>
      <w:pPr>
        <w:pStyle w:val="Heading2"/>
      </w:pPr>
      <w:r>
        <w:t>Regeste</w:t>
      </w:r>
    </w:p>
    <w:p>
      <w:r>
        <w:t>c/ SA | Condamné au pénal, le rec. conteste être l'auteur de l'infraction en produisant une déclaration d'un tiers. Le TA écarte la version du rec. et confirme un r.p.c. 1 m. pour 75 km/h au lieu de 50. RR.</w:t>
      </w:r>
    </w:p>
    <w:p>
      <w:pPr>
        <w:pStyle w:val="Heading2"/>
      </w:pPr>
      <w:r>
        <w:t>Erwägungen</w:t>
      </w:r>
    </w:p>
    <w:p>
      <w:r>
        <w:rPr>
          <w:b/>
        </w:rPr>
        <w:t>E. 25</w:t>
      </w:r>
    </w:p>
    <w:p>
      <w:r>
        <w:t>km/h (ATF 123 II 37). Selon l'art. 17 al. 1 lit. a LCR, la durée du retrait de permis sera d'un mois au minimum. Se limitant à cette durée minimale, la mesure ordonnée par l'autorité intimée doit être confirmée. 3.                     Les considérants qui précèdent conduisent au rejet du recours aux frais du recourant qui succombe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