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CR.2001.0392 vom 11. April 2002</w:t>
      </w:r>
    </w:p>
    <w:p>
      <w:r>
        <w:t>VD Tribunal cantonal, 2002-04-11, FR</w:t>
      </w:r>
    </w:p>
    <w:p>
      <w:r>
        <w:rPr>
          <w:b/>
        </w:rPr>
        <w:t xml:space="preserve">Quelle: </w:t>
      </w:r>
      <w:r>
        <w:t>https://mcp.opencaselaw.ch/entscheid/vd_omni_CR.2001.0392</w:t>
      </w:r>
    </w:p>
    <w:p>
      <w:r>
        <w:t>FR: VD_OMNI CR.2001.0392 du 11 avril 2002</w:t>
      </w:r>
    </w:p>
    <w:p>
      <w:r>
        <w:t>IT: VD_OMNI CR.2001.0392 del 11 aprile 2002</w:t>
      </w:r>
    </w:p>
    <w:p>
      <w:pPr>
        <w:pStyle w:val="Heading2"/>
      </w:pPr>
      <w:r>
        <w:t>Regeste</w:t>
      </w:r>
    </w:p>
    <w:p>
      <w:r>
        <w:t>c/ SA | RPC 1 m. + cours éducation routière confirmé : + 18 km/h en localité survenu moins d'une année après une mesure de 3 mois pour ivresse au volant. Etat de nécessité écarté pour un infirmier amené à se déplacer entre plusieurs sites prof. R.R.</w:t>
      </w:r>
    </w:p>
    <w:p>
      <w:pPr>
        <w:pStyle w:val="Heading2"/>
      </w:pPr>
      <w:r>
        <w:t>Erwägungen</w:t>
      </w:r>
    </w:p>
    <w:p>
      <w:r>
        <w:rPr>
          <w:b/>
        </w:rPr>
        <w:t>E. 16</w:t>
      </w:r>
    </w:p>
    <w:p>
      <w:r>
        <w:t>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(ATF 123 II 109 consid. 2a). Selon la jurisprudence du Tribunal fédéral, un dépassement à partir de 15 km/h de la vitesse maximum autorisée appelle un simple avertissement, tandis qu'au-delà de 30 km/h, il doit entraîner un retrait de permis, même si les conditions de circulation sont favorables et les antécédents bons (ATF 123 II 106; 121 II 127;119 I b 156; 118 IV 190 c. b; 113 Ib 146 c. c; 108 Ib 67 c. 1). Dans les localités, un excès de vitesse compris déjà entre 21 et 24 km/h constitue déjà objectivement un cas de moyenne gravité sans examen des conditions concrètes et entraîne, sauf circonstances particulières, un retrait de permis fondé sur l'art. 16 al. 2 LCR même en présence d'éléments favorables (ATF 124 II 97; ATF 126 II 196). En l'espèce, le recourant a dépassé de 18 km/h la vitesse maximale de 50 km/h. La quotité de l'excès de vitesse appelle en principe un avertissement. Mais dans le cas particulier, le recourant n'est pas au bénéfice d'une réputation irréprochable. En effet, il a fait l'objet moins d'une année auparavant d'un retrait de permis de trois mois pour ivresse au volant de sorte qu'une mesure de retrait de permis, fondée sur l'art. 16 al. 2 LCR et limitée à la durée minimale de l'art.</w:t>
      </w:r>
    </w:p>
    <w:p>
      <w:r>
        <w:rPr>
          <w:b/>
        </w:rPr>
        <w:t>E. 17</w:t>
      </w:r>
    </w:p>
    <w:p>
      <w:r>
        <w:t>al. 1 lit. a LCR, constitue une mesure adéquate, indépendamment du suivi d'un cours d'éducation routière dont le recourant admet le bien-fondé. La proximité de la nouvelle infraction ne permet pas de se limiter au prononcé d'un avertissement, même en tenant compte du cours d'éducation routière. 3.                     Il faut encore examiner si les circonstances particulières invoquées par le recourant constituent un état de nécessité pouvant l'exonérer de toute peine. Selon l'art. 34 ch. 2 CP, lorsqu'un acte aura été commis pour préserver d'un danger imminent et impossible à détourner autrement un bien appartenant à autrui, notamment la vie, l'intégrité corporelle, la liberté, l'honneur, le patrimoine, cet acte ne sera pas punissable. Si l'auteur pouvait se rendre compte que le sacrifice du bien menacé pouvait être raisonnablement exigé de celui auquel le bien appartenait, le juge atténuera librement la peine. La présente affaire ne réunit à l'évidence pas les conditions de l'art. 34 CP. La mission de coordinateur du recourant qui l'amène à se déplacer sur différents sites où se présentent des urgences ne lui permet manifestement pas d'une manière générale de s'affranchir des limitations de vitesse et de mettre ainsi en danger la vie d'autres personnes, ce y compris le 7 septembre 2001 où il n'est pas démontré en quoi le bien menacé, à savoir apparemment l'état de santé psychique de patients ne pouvait pas être préservé par un autre moyen. Il ne résulte rien de tel des pièces au dossier qui au demeurant se réfèrent à une intervention d'urgence survenue le 7 octobre 2001. On se trouve typiquement dans une situation où une équipe d'intervention, régulièrement confrontée à des urgences et rodée doit pouvoir faire face au problème que pose le comportement psychique de personnes dans l'attente de l'arrivée du recourant, qui n'est de toute manière pas prévue pour être immédiate vu la distance séparant les différents lieux. Il apparaît ainsi manifestement que la gestion de la prise en charge des malades est déjà dans les faits en partie assurée et organisée sur place et que le recourant peut par exemple au besoin donner des instructions téléphoniques à l'équipe d'intervention amenée à contrôler provisoirement la situation. Dans ces conditions, la condition d'imminence du danger n'est à l'évidence pas réunie. Au surplus, on ne voit pas en quoi le fait de commettre un excès de vitesse permettant de gagner tout au plus quelques minutes sur son temps de trajet était le seul moyen pour préserver le bien menacé. Ces considérations conduisent au rejet du moyen tiré de l'art. 34 CP. La décision attaquée doit être confirmée. 4.                     Le recours étant rejeté, un émolument est mis à la charge du recourant qui succombe et qui, vu l'issue de son pourvoi,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