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CR.2001.0233 vom 14. Februar 2002</w:t>
      </w:r>
    </w:p>
    <w:p>
      <w:r>
        <w:t>VD Tribunal cantonal, 2002-02-14, FR</w:t>
      </w:r>
    </w:p>
    <w:p>
      <w:r>
        <w:rPr>
          <w:b/>
        </w:rPr>
        <w:t xml:space="preserve">Quelle: </w:t>
      </w:r>
      <w:r>
        <w:t>https://mcp.opencaselaw.ch/entscheid/vd_omni_CR.2001.0233</w:t>
      </w:r>
    </w:p>
    <w:p>
      <w:r>
        <w:t>FR: VD_OMNI CR.2001.0233 du 14 février 2002</w:t>
      </w:r>
    </w:p>
    <w:p>
      <w:r>
        <w:t>IT: VD_OMNI CR.2001.0233 del 14 febbraio 2002</w:t>
      </w:r>
    </w:p>
    <w:p>
      <w:pPr>
        <w:pStyle w:val="Heading2"/>
      </w:pPr>
      <w:r>
        <w:t>Regeste</w:t>
      </w:r>
    </w:p>
    <w:p>
      <w:r>
        <w:t>c/ SA | Un conducteur pressé qui dépasse un véhicule par la droite sur l'autoroute dans le but de gagner une place dans le trafic par simple commodité, commet une faute trop importante pour qu'on puisse considérer le cas comme étant de peu de gravité, malgré ses bons antécédents en tant que conducteur. Retrait d'un mois confirmé.</w:t>
      </w:r>
    </w:p>
    <w:p>
      <w:pPr>
        <w:pStyle w:val="Heading2"/>
      </w:pPr>
      <w:r>
        <w:t>Erwägungen</w:t>
      </w:r>
    </w:p>
    <w:p>
      <w:r>
        <w:rPr>
          <w:b/>
        </w:rPr>
        <w:t>E. 2</w:t>
      </w:r>
    </w:p>
    <w:p>
      <w:r>
        <w:t>LCR, malgré les bons antécédents du recourant en tant que conducteur. Le prononcé d'un simple avertissement étant exclu, une mesure de retrait du permis de conduire s'impose donc en l'espèce. 3.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S'en tenant à la durée minimale d'un mois, la décision attaquée ne peut ainsi qu'être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