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CP.1995.0001 vom 25. Februar 1993</w:t>
      </w:r>
    </w:p>
    <w:p>
      <w:r>
        <w:t>VD Tribunal cantonal, 1993-02-25, FR</w:t>
      </w:r>
    </w:p>
    <w:p>
      <w:r>
        <w:rPr>
          <w:b/>
        </w:rPr>
        <w:t xml:space="preserve">Quelle: </w:t>
      </w:r>
      <w:r>
        <w:t>https://mcp.opencaselaw.ch/entscheid/vd_omni_CP.1995.0001</w:t>
      </w:r>
    </w:p>
    <w:p>
      <w:r>
        <w:t>FR: VD_OMNI CP.1995.0001 du 25 février 1993</w:t>
      </w:r>
    </w:p>
    <w:p>
      <w:r>
        <w:t>IT: VD_OMNI CP.1995.0001 del 25 febbraio 1993</w:t>
      </w:r>
    </w:p>
    <w:p>
      <w:pPr>
        <w:pStyle w:val="Heading2"/>
      </w:pPr>
      <w:r>
        <w:t>Regeste</w:t>
      </w:r>
    </w:p>
    <w:p>
      <w:r>
        <w:t>METTRAUX Alphonse c/ AC | Conditions formelles et matérielles de recevabilité d'une demande de révision d'un arrêt du Tribunal administratif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manque signature du voisin</w:t>
      </w:r>
    </w:p>
    <w:p>
      <w:r>
        <w:rPr>
          <w:b/>
        </w:rPr>
        <w:t>E. 2</w:t>
      </w:r>
    </w:p>
    <w:p>
      <w:r>
        <w:t>(Signature illisible)"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