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CCST.2021.0013 vom 4. November 2022</w:t>
      </w:r>
    </w:p>
    <w:p>
      <w:r>
        <w:t>VD Tribunal cantonal, 2022-11-04, FR</w:t>
      </w:r>
    </w:p>
    <w:p>
      <w:r>
        <w:rPr>
          <w:b/>
        </w:rPr>
        <w:t xml:space="preserve">Quelle: </w:t>
      </w:r>
      <w:r>
        <w:t>https://mcp.opencaselaw.ch/entscheid/vd_omni_CCST.2021.0013</w:t>
      </w:r>
    </w:p>
    <w:p>
      <w:r>
        <w:t>FR: VD_OMNI CCST.2021.0013 du 4 novembre 2022</w:t>
      </w:r>
    </w:p>
    <w:p>
      <w:r>
        <w:t>IT: VD_OMNI CCST.2021.0013 del 4 novembre 2022</w:t>
      </w:r>
    </w:p>
    <w:p>
      <w:pPr>
        <w:pStyle w:val="Heading2"/>
      </w:pPr>
      <w:r>
        <w:t>Regeste</w:t>
      </w:r>
    </w:p>
    <w:p>
      <w:r>
        <w:t>DELÉVAUX/Municipalité de Lucens | Requête dirigée contre une directive communale sur la culture du chanvre. Bien qu'invoquant divers arguments, le requérant n'a pas été suffisamment précis ni dans la mention des dispositions légales prétendument violées ni dans la description de cette violation. La Cour n'étend pas son examen à d'autres griefs que ceux invoqués par le requérant, dès lors qu'il n'apparaît pas que l'acte attaqué serait manifestement contraire au droit de rang supérieur. Requête déclarée irrecevable faute de motivation suffisante.</w:t>
      </w:r>
    </w:p>
    <w:p>
      <w:pPr>
        <w:pStyle w:val="Heading2"/>
      </w:pPr>
      <w:r>
        <w:t>Erwägungen</w:t>
      </w:r>
    </w:p>
    <w:p>
      <w:r>
        <w:rPr>
          <w:b/>
        </w:rPr>
        <w:t>E. 1</w:t>
      </w:r>
    </w:p>
    <w:p>
      <w:r>
        <w:t>a) Selon l'art. 136 al. 2 let. a de la Constitution du 14 avril 2003 du Canton de Vaud (Cst-VD; BLV 101.01), la Cour constitutionnelle contrôle, sur requête déposée dans les vingt jours dès leur publication, la conformité des normes cantonales au droit supérieur. L'art. 3 de la loi cantonale du 5 octobre 2004 sur la juridiction constitutionnelle (LJC; BLV 173.32), qui concrétise cette disposition, précise que ce contrôle porte également sur tous les règlements, arrêtés ou tarifs communaux et intercommunaux, contenant des règles de droit, de même que le refus d’approbation de tels actes par le Canton, lorsque celle-ci est requise (al. 3). b) aa) Selon l'art. 8 LJC, le requérant doit invoquer la violation d'une règle de droit de rang supérieur et préciser en quoi consiste cette violation. L’art. 13 LJC précise cependant que la Cour de céans limite son examen aux griefs invoqués par le requérant, sauf s'il apparaît que l'acte attaqué est manifestement contraire au droit de rang supérieur (art. 13 LJC). En vertu de la loi, les exigences en matière de motivation sont donc élevées, et le principe d'allégation doit être appliqué rigoureusement (cf. arrêts CCST.2017.0002 du 31 mai 2017 consid. 2a; CCST.2013.0009 du 23 juin 2014 consid. 2; Pierre-Yves Bosshard, La Cour constitutionnelle vaudoise, RDAF 2008 I p. 16). La jurisprudence a précisé que les griefs adressés à un acte normatif doivent en principe être contenus dans la requête elle-même (CCST.2021.0007 du 21 janvier 2022 consid. 1c et les références citées). bb) En l'occurrence, le requérant considère tout d'abord que l'acte attaqué viole la loi fédérale du 22 juin 1979 sur l'aménagement du territoire (LAT; RS 700) et la loi du 4 décembre 1985 sur l'aménagement du territoire et les constructions (LATC; BLV 700.11 ) en exigeant une autorisation pour la culture du chanvre et en légiférant au sujet de la zone agricole. Le requérant ne précise toutefois pas quelles dispositions légales seraient violées. La simple mention du principe de la base légale ne peut pas être considérée comme suffisante. Le requérant soulève également le grief de violation de la garantie de la propriété, mais sans indiquer en quoi l'acte attaqué porterait atteinte à cette garantie constitutionnelle. Le requérant conteste encore l'émolument prévu par l'acte attaqué pour l'obtention d'une autorisation et la distance imposée aux cultures de chanvre par ledit acte. À nouveau, il n'indique pas quelle disposition légale serait violée par la perception d'un tel émolument et par la distance imposée. À ce propos, sa référence au principe de la proportionnalité est trop vague pour être retenu. Il y a ainsi lieu de considérer que le requérant n'a pas satisfait aux exigences posées par l'art. 8 LJC. Il faut ajouter qu'une application stricte de l'art. 8 LJC ne porte pas une atteinte disproportionnée aux droits du requérant sachant que celui-ci conserve la possibilité d'obtenir un contrôle concret de la norme au cas où la municipalité lui notifierait une interdiction de cultiver du chanvre. Enfin, la Cour de céans n'étendra pas son examen à d'autres griefs que ceux  invoqués par le requérant, dès lors qu'il n'apparaît pas que l'acte attaqué serait manifestement contraire au droit de rang supérieur (art. 13 LJC).</w:t>
      </w:r>
    </w:p>
    <w:p>
      <w:r>
        <w:rPr>
          <w:b/>
        </w:rPr>
        <w:t>E. 2</w:t>
      </w:r>
    </w:p>
    <w:p>
      <w:r>
        <w:t>Vu ce qui précède, il convient de déclarer la requête irrecevable . Le requérant, qui succombe, doit payer un émolument judiciaire (art. 49 al. 1 de la loi sur la procédure administrative [LPA-VD: BLV 173.36]), applicable par renvoi de l'art. 12 al. 2 LJC).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