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CCST.2019.0012 vom 23. Oktober 2019</w:t>
      </w:r>
    </w:p>
    <w:p>
      <w:r>
        <w:t>VD Tribunal cantonal, 2019-10-23, FR</w:t>
      </w:r>
    </w:p>
    <w:p>
      <w:r>
        <w:rPr>
          <w:b/>
        </w:rPr>
        <w:t xml:space="preserve">Quelle: </w:t>
      </w:r>
      <w:r>
        <w:t>https://mcp.opencaselaw.ch/entscheid/vd_omni_CCST.2019.0012</w:t>
      </w:r>
    </w:p>
    <w:p>
      <w:r>
        <w:t>FR: VD_OMNI CCST.2019.0012 du 23 octobre 2019</w:t>
      </w:r>
    </w:p>
    <w:p>
      <w:r>
        <w:t>IT: VD_OMNI CCST.2019.0012 del 23 ottobre 2019</w:t>
      </w:r>
    </w:p>
    <w:p>
      <w:pPr>
        <w:pStyle w:val="Heading2"/>
      </w:pPr>
      <w:r>
        <w:t>Regeste</w:t>
      </w:r>
    </w:p>
    <w:p>
      <w:r>
        <w:t>SOCIETE VAUDOISE DES MEDECINS DENTISTES, DUBREZ, TETAZ/Conseil d'Etat | Requête visant un arrêté du Conseil d'Etat relatif au remboursement des frais de soins dentaires reconnus dans le cadre des régimes sociaux cantonaux. Le tarif appliqué par le Conseil d'Etat aux dentistes non conventionnés n'est pas arbitraire du seul fait qu'il est inférieur au tarif appliqué par certaines assurances fédérales (et partiellement appliqué aux dentistes conventionnés). La Cour rejette les arguments selon lesquels le tarif aurait pour effet, d’une part, de ne pas rémunérer du tout certaines prestations dispensées quotidiennement par les médecins-dentistes et, d'autre part, ne permettrait pas aux dentistes de dégager une légère marge bénéficiaire (comparaison avec les avocats commis d'office). De plus, les requérants n'articulent pas de chiffre concret permettant d'évaluer l'effet prétendument intolérable du tarif vaudois sur leur revenus. L'art. 17 RLVPC dans sa nouvelle formulation n'est pas non plus arbitraire. Enfin, le fait que le tarif appliqué soit différent selon que le dentiste est conventionné ou non n'est pas contraire au principe de l'égalité de traitement, la situation de fait étant différente. Rejet de la requête.</w:t>
      </w:r>
    </w:p>
    <w:p>
      <w:pPr>
        <w:pStyle w:val="Heading2"/>
      </w:pPr>
      <w:r>
        <w:t>Erwägungen</w:t>
      </w:r>
    </w:p>
    <w:p>
      <w:r>
        <w:rPr>
          <w:b/>
        </w:rPr>
        <w:t>E. 1</w:t>
      </w:r>
    </w:p>
    <w:p>
      <w:r>
        <w:t>a) Selon l'art. 136 al. 2 let. 1 de la Constitution du 14 avril 2003 du canton de Vaud (Cst.-VD; BLV 101.01), la Cour constitutionnelle contrôle, sur requête déposée dans les vingt jours dès leur publication, la conformité des normes cantonales au droit supérieur. L'art. 3 de la loi du 5 octobre 2004 sur la juridiction constitutionnelle (LJC; BLV 173.32), qui concrétise cette disposition, précise que le contrôle de la Cour porte sur les actes adoptés par des autorités cantonales contenant des règles de droit (al. 1). Peuvent notamment faire l'objet d'un tel contrôle, s'ils remplissent ces conditions, les règlements du Conseil d'Etat (art. 3 al. 2 let. b LJC). L'arrêté du Conseil d'Etat du 27 mars 2019 relève ainsi des objets pouvant être soumis à l’examen de la Cour constitutionnelle. b) Déposée dans les vingt jours suivant la publication de l'acte contesté, la requête est intervenue en temps utile (art. 5 al. 1 LJC). c) Selon l'art. 8 LJC, le requérant doit invoquer la violation d'une règle de droit de rang supérieur et préciser en quoi consiste cette violation. En l'espèce, les requérants invoquent la violation de la liberté économique, du principe de la primauté du droit fédéral, du principe de la légalité/séparation des pouvoirs, de l'interdiction de l'arbitraire et du principe d'égalité. Ils invoquent en outre la violation de l'art. 15 al. 1 LPCFam. Les requérants ont aussi précisé la nature de ces violations, si bien que la motivation de leur requête est suffisante. d)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CCST.2015.0006 du 9 juin 2016 consid. 1c, CCST.2009.0004 du 29 mars 2010 consid. 1c). Une atteinte virtuelle suffit, sans besoin d'être actuelle, pourvu que le requérant puisse, avec un minimum de vraisemblance être touché par la norme qu’il conteste (arrêts CCST.2015.0006 du 9 juin 2016 consid. 1c, CCST.2009.0004 du 29 mars 2010 consid. 1c, CCST.2008.0012 du 4 septembre 2009 consid. 1d). Selon la jurisprudence développée en matière de qualité pour recourir au sens de l'art. 75 de la loi sur la procédure administrative du 28 octobre 2008 (LPA-VD; BLV 173.36), applicable par analogie en l’espèce, une association peut recourir non seulement pour préserver ses propres intérêts, mais aussi pour défendre les intérêts de ses membres si ses statuts le lui commandent, s'il s'agit d'intérêts communs à une grande partie ou à la majorité de ses membres et si chaque membre était habilité à les invoquer dans un recours (arrêts CCST.2018.0005 du 30 novembre 2018 consid. 1d, CCST.2015.0006 du 9 juin 2016 consid. 1c, CCST.2012.0002 du 18 octobre 2012 consid. 1d, CCST.2009.0004 du 29 mars 2010 et les références citées). La SVMD est une association qui regroupe en particulier les médecins-dentistes qui pratiquent dans le canton de Vaud; il n'a pas été contesté que la plupart de ces médecins-dentistes prodiguent des soins dentaires à des personnes bénéficiant des régimes sociaux. L'association a notamment pour but, selon l'art. 6 let. a de ses statuts, de " défendre les intérêts moraux et matériels de la profession ". E n l'espèce, l'arrêté litigieux détermine les modalités et conditions du remboursement, pour les prestations de soins dentaires prodiguées par des médecins-dentistes qui n'ont pas adhéré à la Convention 2019. Dès lors qu'il ressort de l'écriture des requérants qu'un grand nombre de médecins-dentistes ont adhéré à la Convention 2019, on peut se demander, comme l'a fait l'autorité intimée, si en interjetant cette requête la SVMD défend encore des intérêts communs à une grande partie ou à la majorité de ses membres. On doit néanmoins tenir compte à cet égard du fait que les requérants soutiennent que cette adhésion s'est faite dans un contexte de fortes pressions. Au demeurant, même les médecins-dentistes qui ont adhéré à la Convention 2019 sont susceptibles de ne pas renouveler leur adhésion et ont ainsi un intérêt à faire contrôler les conditions s'appliquant aux médecins-dentistes non conventionnés. Les requérants ont aussi produit un document intitulé " extrait du procès-verbal de l'assemblée générale du 2 mai 2019 " faisant état d'un montant porté au budget 2019 pour les frais de la présente procédure et indiquant que le budget a été adopté à l'unanimité moins une voix contre et une abstention. Dans ses déterminations du 12 septembre 2019, l’autorité intimée met en doute la force probante de ce document dont elle souligne qu'il ne s'agit pas d'un original mais d'une retranscription partielle établie le 10 juillet 2019. Quoi qu'il en soit, il n'est pas nécessaire de donner une réponse définitive à la question de savoir si la SVMD dispose de la qualité pour agir et pour contester ledit arrêté en raison de son but statutaire de défense de ses membres. En effet, la requête a également été déposée par deux autres requérants, qui sont médecins-dentistes. En tant que médecins-dentistes indépendants qui n'ont pas adhéré à la Convention 2019, ils sont directement touchés par l'arrêté contesté qui fixe la manière dont ils doivent être rémunérés dans le cadre de la fourniture de certains traitements. Ils ont donc qualité pour agir à titre personnel et individuel. e) La conclusion principale des requérants est formulée comme suit: "Annuler l'art. 2 al. 1 let. a de l'Arrêté du Conseil d'Etat du 27 mars 2019 et renvoyer la cause au Conseil d'Etat avec l'instruction de le modifier comme suit: "le remboursement est effectué à hauteur maximale du tarif dentaire AA/Al/AM du 3 mai 2017, en vigueur au 1 er janvier 2019, à une valeur de point de 1 franc". La Cour constitutionnelle a déjà eu l'occasion de juger que la requête a en principe un caractère cassatoire, sous réserve de cas exceptionnels (cf. CCST.2013.0010 du 24 décembre 2013 et les références citées), non réalisés en l’espèce. Dans la mesure où la requête tend à ce que la Cour constitutionnelle renvoie la cause avec une instruction précise elle s'apparente à une demande de réforme de l'acte attaqué et apparaît ainsi irrecevable. Point n’est cependant besoin de trancher définitivement la question, du moment que la requête doit de toute manière être rejetée sur le fond et que la partie de la conclusion tendant à l'annulation est recevable. f) La requête s'avère donc recevable en tant qu'elle conclut à l'annulation de l'art. 2 al. let. a de l'arrêté du 27 mars 2019.</w:t>
      </w:r>
    </w:p>
    <w:p>
      <w:r>
        <w:rPr>
          <w:b/>
        </w:rPr>
        <w:t>E. 2</w:t>
      </w:r>
    </w:p>
    <w:p>
      <w:r>
        <w:t>Sur le fond, les requérants estiment tout d'abord que l'acte attaqué porte atteinte à leur liberté économique. a) Aux termes de l'art. 27 Cst., la liberté économique est garantie (al. 1). Elle comprend notamment le libre choix de la profession, le libre accès à une activité économique lucrative privée et son libre exercice (al. 2). Exercer librement une activité lucrative signifie notamment la possibilité de choisir le moment, le lieu, les moyens de production, la forme juridique, les partenaires, les collaborateurs, les clients, les conditions de travail, les coûts et les prix (cf. Andreas Auer / Giorgio Malinverni / Michel Hottelier, Droit constitutionnel suisse, vol. II, 3 e éd., Berne 2013, p. 444). La liberté économique protège toute activité économique privée, exercée à titre professionnel et tendant à la production d'un gain ou d'un revenu. Elle peut être invoquée tant par les personnes physiques que par les personnes morales (ATF 143 II 598 consid. 5.1 p. 612, 140 I 218 consid. 6.3 p. 229 et les références citées). L'individu protégé est celui qui est engagé dans le processus économique, qui produit ou échange des biens ou des services, dans un but lucratif (Auer/Malinverni/Hottelier, op. cit., p. 423). Aux termes de l'art. 36 al. 1 Cst., toute restriction d'un droit fondamental doit être fondée sur une base légale; les restrictions graves doivent être prévues par une loi; les cas de danger sérieux, direct et imminent sont réservés. b) Le grief relatif à la liberté économique n'est pas pertinent en l'occurrence dès lors qu'il ne ressort pas des législations topiques (en matière de prestations complémentaires, de prestations complémentaires pour les familles, d'aide sociale ainsi que d'aide aux requérants d'asile et à certaines catégories d'étrangers) – ou d'autres textes de loi – que les médecins-dentistes auraient l'obligation d'accepter des patients soumis aux tarifs sociaux. Certes, c'est sans doute non sans une certaine audace que l'autorité intimée soutient que les médecins-dentistes vaudois sont parfaitement libres d'accepter ou de refuser ce type de clients dès lors que, pour que le système fonctionne, il est indispensable que les médecins-dentistes acceptent de prendre en charge des patients dépendant des régimes sociaux. Il n'en demeure pas moins que, juridiquement, il n'existe aucune obligation pour les médecins-dentistes de fournir des prestations  à ce type de patients (contrairement par exemple à l'obligation pour les avocats d'accepter des mandats d'office rémunérés au tarif de l'assistance judiciaire). En d'autres termes, l'Etat n'oblige pas les médecins-dentistes vaudois à fournir des prestations dentaires à un prix imposé. Il se limite à leur indiquer que, s'ils choisissent librement de fournir des prestations à certaines catégories de la population et s'ils souhaitent que ces prestations soient prises en charge par l'Etat, cela ne peut se faire qu'au prix déterminé par l'Etat. Cette manière de procéder ne constitue pas une violation de la liberté économique des médecins-dentistes. Au contraire, lorsque les médecins-dentistes décident à leur convenance de fournir des prestations qui devront être remboursées par l'Etat, ils renoncent volontairement à pratiquer à d'autres tarifs. Le fait que, pour bon nombre de praticiens, comme le soutiennent les requérants, ce type de patientèle représenterait une fraction essentielle de leur chiffre d'affaires et que ces praticiens ne seraient pas en mesure de refuser ce type de patientèle, n'est pas non plus déterminant. En effet, la prise en charge des frais des patients dépendant des régimes sociaux n'a pas pour objectif de soutenir économiquement les cabinets dentaires. Si l'offre en matière de prestations dentaires est supérieure à la demande, il revient au marché de rééquilibrer le système et non à l'Etat de soutenir indirectement les structures les moins efficientes. On peut encore relever que la situation des médecins-dentistes se distingue de celle des médecins qui, de par le système de l'assurance maladie en Suisse, ne peuvent de fait pas (ou très difficilement) exercer sans pratiquer à la charge de l’assurance obligatoire des soins. Or même par rapport aux médecins, la Cour constitutionnelle avait relevé que le contrôle des coûts n'était pas contraire à la liberté économique (CCST.2018.0005 du 30 novembre 2018 consid. 4a), en raisonnant comme suit: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140 I 218 consid. 6.3 p. 230, 138 II 398 consid. 3.9.3 p. 426; arrêts TF 2C_228/ 2011 du 23 juin 2012 consid. 4.1, 2C_727/2011 du 19 avril 2012 consid. 3.1, non publié in: ATF 138 II 191, 9C_219/2010 du 13 septembre 2010 consid. 8, 2P.134/2003 du 6 septembre 2004 consid. 3.2, in: RDAF 2005 I p. 182; Mélanie Mader, Financement des hôpitaux et des soins: éléments importants des révisions LAMal, marge de manœuvre des cantons et rôle de la liberté économique, Jusletter 16 août 2010, p. 27 s.)".</w:t>
      </w:r>
    </w:p>
    <w:p>
      <w:r>
        <w:rPr>
          <w:b/>
        </w:rPr>
        <w:t>E. 3</w:t>
      </w:r>
    </w:p>
    <w:p>
      <w:r>
        <w:t>L'autorité compétente applique par analogie les al. 1 et 2 lors de la fixation des tarifs prévus aux art. 43, al. 5, 47, ou 48 de la loi". Il ressort de ces articles que, en matière de convention tarifaire, le principe d’économicité ne concerne plus directement le rapport entre les coûts et le bénéfice d'une prestation dans un cas particulier, mais le rapport entre des soins de qualité suffisante et les coûts indispensables pour la fourniture de tels soins. Dans ce domaine, ce principe a comme fonction de poser une limite supérieure aux coûts des prestations prises en charge, envisagées de manière générale, c'est-à-dire indépendamment d'une situation concrète. Toutefois, dans cette perspective également, le principe d’économicité entend plafonner les coûts et non pas imposer un coût minimum au-dessous duquel l’autorité compétente ne pourrait pas descendre. Dans l’ATF 144 V 138, le Tribunal fédéral a au surplus considéré que l'art. 43 al. 4 2 e phr. LAMal (qui exige que les conventions tarifaires soient fixées d'après les règles applicables en économie d'entreprise et structurées de manière appropriée) et l'art. 43 al. 5bis LAMal n'excluaient pas qu'en cas d'adaptation de la structure tarifaire, le Conseil fédéral réduise linéairement le point tarifaire de certaines positions et tienne compte à cette occasion aussi d'aspects politiques visant par exemple à promouvoir la médecine de famille ou à parvenir à une gestion économique des soins (consid. 6.4 et 6.5). Le Tribunal fédéral a reconnu qu’en principe, les parties à la convention ou les autorités compétentes devaient veiller à ce que les tarifs fussent fixés d'après les règles d'une saine gestion économique et qu'ils fussent structurés de manière appropriée. Toutefois, il estime que, même en prenant ces critères en considération, il n'existe pas un point tarifaire qui serait seul correct. b) En conclusion, il ressort des textes légaux et de la jurisprudence exposés ci-dessus une portée négative claire du principe d’économicité. Seules les prestations considérés comme économiques sont prises en charge par l’assurance-obligatoire des soins et seuls les tarifs fixés en tenant compte du principe d’économicité peuvent être validés par les autorités fédérales ou cantonales compétentes. On retire de ce qui précède que l’économicité est définie et évaluée dans une perspective de maîtrise des coûts de la santé. Elle ne vise en revanche pas dans ce contexte à garantir un certain chiffre d’affaires aux fournisseurs de soins. Il n’est ainsi pas possible de suivre les requérants lorsqu’ils entendent déduire des droits directs du principe de l'économicité . Certes, il apparaît important pour maintenir une offre adéquate en matière de prise en charge des soins dentaires des personnes bénéficiant des régimes sociaux que le tarif appliqué permette aux prestataires de soins privés de couvrir leurs charges et de dégager un certain bénéfice . Ainsi, indirectement, les tarifs doivent être fixés en tenant compte de tous les éléments qui permettent aux fournisseurs de prestations de fonctionner dans une économie de marché dans la durée. Il s’agit toutefois d’une contingence qui ne découle pas directement du principe de l’économicité, mais qui s’impose aux organes étatiques compétents en vertu des principes généraux qui gouvernent l’action de d’Etat, en particulier ceux de l’intérêt public, de la proportionnalité et de l’interdiction de l’arbitraire.</w:t>
      </w:r>
    </w:p>
    <w:p>
      <w:r>
        <w:rPr>
          <w:b/>
        </w:rPr>
        <w:t>E. 4</w:t>
      </w:r>
    </w:p>
    <w:p>
      <w:r>
        <w:t>Il y a lieu à ce stade d’examiner les autres griefs soulevés par les requérants en rapport avec une violation du principe de l'économicité, à savoir les griefs de violation du principe de la primauté du droit fédéral, de violation de l'art. 15. al. 1 de la LPCFam ainsi de violation du principe de l'interdiction de l'arbitraire. a) aa)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(ATF 143 I 403 consid. 7.1 p. 419 s. et les références citées). bb) Selon les requérants, les prestations complémentaires AVS/Al sont réglementées au niveau fédéral par la LPC, en particulier par son art. 14 al. 2 qui prescrit que les cantons sont habilités à limiter le remboursement des prestations uniquement " dans les limites d'une fourniture économique et adéquate des prestations ". Cette disposition ne permettrait ainsi pas aux cantons de limiter librement les montants remboursés, mais seulement de les ramener à un niveau qui soit économique. En imposant aux médecins-dentistes un tarif SUVA 1994 inférieur au tarif dentaire révisé AA/Al/AM, dont la valeur du point tarifaire a été dûment négociée par les partenaires tarifaires en application du principe d'économicité, le Conseil d'Etat éluderait les dispositions de l'art. 14 al. 2 LPC et violerait le principe de la primauté du droit fédéral protégé par l'art. 49 al. 1 Cst. L’autorité intimée conteste l’argumentation des requérants en se fondant sur la marge d'appréciation réservée aux cantons par l’art. 14 al. 2 LPC, qui les autoriserait à s'écarter de la convention tarifaire précitée. La Cour constitutionnelle constate tout d’abord que l’art. 14 al. 2 LPC constitue une délégation de compétence en faveur des cantons, leur permettant, d’une part, de préciser quels frais peuvent être remboursés en vertu de l'al. 1 et, d’autre part, de limiter le remboursement aux dépenses nécessaires dans les limites d'une fourniture économique et adéquate des prestations. Dans le cadre de cette délégation de compétence, l’art. 14 al. 2 LPC ne contient aucun renvoi à des conventions tarifaires qui lieraient les autorités cantonales. Le tarif dentaire révisé AA/Al/AM constitue ainsi, à l’instar d’une norme privée, un texte qui ne lie aucunement le Conseil d’Etat. Même si ledit tarif exprime un certain consensus, il ne peut pas être imposé aux cantons, ce d'autant moins que ceux-ci n'ont apparemment pas participé à la négociation. Il a au surplus été exposé ci-dessus que, même dans le domaine de l’assurance-maladie, qui renvoie largement aux conventions tarifaires, le Tribunal fédéral a considéré que l’autorité exécutive pouvait réduire linéairement le point tarifaire de certaines positions et tenir compte à cette occasion aussi d'aspects politiques visant à parvenir à une gestion économique des soins (ATF 144 V 138 consid. 6.4 et 6.5). La Cour constitutionnelle rappelle ensuite que le terme " économique " figurant à l’art. 14 al. 2 LPC signifie, tel qu'analysé ci-dessus, qu’il existe un rapport raisonnable entre le coût d’une prestation et l’utilité de cette prestation pour le patient. L’art. 14 al. 2 LPC ne définit toutefois pas les conditions auxquelles ledit rapport peut être considéré comme raisonnable. Il revient aux cantons de définir ces conditions, ce que le canton de Vaud a fait, estimant que ce rapport raisonnable était concrétisé pour les médecins-dentistes non conventionnés par le tarif SUVA 1994. Il n’est pas exclu que le choix du Conseil d’Etat d’appliquer dans ce contexte le tarif SUVA 1994 viole d’autres principes juridiques, ce qui sera examiné ci-après. En revanche, ce choix ne viole pas la clause de délégation de l’art. 14 al. 2 LPC et ne porte ainsi pas atteinte au principe de la force dérogatoire du droit fédéral. b) Les requérants relèvent que l'art. 15 al. 1 LPCFam renvoie à l'art. 14 al. 2 LPC, qui imposerait l’application du tarif révisé. Ainsi, en imposant aux médecins-dentistes un tarif SUVA 1994 " obsolète " et inférieur au tarif dentaire révisé AA/Al/AM, le Conseil d'Etat aurait violé l'art. 15 al. 1 LPCFam. Toute l'argumentation développée supra à propos de l’art. 14 al.  LPC et de la délégation de compétence faite aux cantons est valable mutatis mutandis dans le cadre de la LPCFam également. De plus, l'art. 15 al. 2 LPCFam prévoit expressément que " le Conseil d'Etat précise les modalités d'octroi du remboursement et fixe des limites au remboursement ". Le Conseil d'Etat est par conséquent habilité à déclarer le tarif SUVA 1994 applicable pour les prestations qu'il finance dans le cadre de la LPCFam. Le grief des requérants doit donc être rejeté. c) Un arrêté de portée générale est arbitraire (cf. art. 9 Cst. ) lorsqu'il ne repose pas sur des motifs sérieux, s'il est dépourvu de sens et de but ou encore heurte de manière choquante le sentiment de la justice et de l'équité; il ne suffit pas qu'une autre solution paraisse concevable, voire préférable (voir ATF 136 I 241 consid. 3.1 p. 250). Les requérants se sont prévalus du principe de l’interdiction de l’arbitraire, en rapport avec l’incohérence et le caractère contradictoire du système de rémunération mis en place par l’arrêté, en tant qu’il renvoie au référentiel de prestations de la Convention 2019 (question examinée ci-après sous bb). Ils n’ont pas mentionné expressément ce principe en rapport avec le montant de leur rémunération selon le tarif SUVA 1994. Il n’est ainsi pas sûr que le grief ait été suffisamment substantifié au sens de l’art. 8 LJC. Quoi qu’il en soit, même si c’était le cas, il devrait être rejeté pour les raisons qui suivent. aa) Il est intéressant de comparer la situation des médecins-dentistes à celles des avocats pratiquant au régime de l'assistance judiciaire, les deux situations concernant des professionnels qui, à côté d'une pratique libérale, mettent leurs compétences au service de l'intérêt public et dont les prestations sont prises en charge par l'Etat dans ce cadre. Pour ce qui concerne la fixation des honoraires du défenseur d’office, les cantons disposent d’un large pouvoir d’appréciation et il leur est loisible de fixer pour une défense d’office des honoraires inférieurs à ceux d’un mandat libre ( ATF 137 III 185 consid. 5.2 p. 188). Les honoraires doivent toutefois être fixés de telle sorte que le défenseur d’office dispose de la marge de manœuvre dont il a besoin pour exercer efficacement son mandat. Le Tribunal fédéral estime que l’interdiction de l’arbitraire est violée lorsque l’indemnisation accordée ne couvre que les frais mêmes et ne garantit pas un gain au moins modeste, supérieur à un gain purement symbolique (cf. ATF 141 I 124 consid. 3.2 p. 126 s.; arrêt TF 5D_213/2015 du 8 mars 2016 consid. 7). Il convient encore de préciser que l'avocat commis d'office n'a pas le droit, en vertu de l’art. 12 let. g de la loi fédérale du 23 juin 2000 sur la libre circulation des avocats (LLCA; RS 935.61), de refuser son mandat. Ceci constitue une différence majeure, sous l'angle de la liberté économique, avec la situation des médecins-dentistes qui sont libres de refuser des patients dépendant des régimes sociaux. Dès lors que le Tribunal fédéral a considéré qu’il était admissible de fixer pour une défense d’office (que l’avocat ne peut pas refuser) des honoraires inférieurs à ceux d’un mandat libre, il est également admissible de fixer pour des soins dentaires fournis à des bénéficiaires des régimes sociaux (librement choisis par le dentiste) une rémunération inférieure à celle d’un mandat libre. Cela étant posé, il convient de déterminer si la rémunération fondée sur le tarif SUVA 1994, comme le prévoit l’arrêté contesté, contrevient au principe de l’interdiction de l’arbitraire. C'est à cet égard à tort que l’autorité intimée estime que les requérants ne sont pas fondés à se plaindre du tarif SUVA 1994 dès lors qu'ils pouvaient ratifier la Convention 2019 et qu'ils ne sont, au surplus, nullement obligés d'accepter de la clientèle bénéficiant de prestations sociales. Il faut en effet en premier lieu souligner que, même si l’Etat n’exerce pas un pouvoir de contrainte lorsqu’il prend en charge dans ce cadre les prestations des médecins-dentistes, il reste néanmoins lié par les principes généraux qui doivent guider l’action de l’Etat, donc par le principe de l’interdiction de l’arbitraire. En second lieu, la ratification de la Convention 2019 implique pour les signataires l'adhésion à un certain nombre d'obligations. La signature n'est ainsi pas sans conséquence sur la situation juridique des médecins-dentistes et ne peut pas leur être imposée. Les médecins-dentistes qui ne souhaitent pas se soumettre à la Convention 2019 ont ainsi le droit de requérir le contrôle par la Cour de céans de la conformité à l'ordre juridique de l'article de l'arrêté qui les soumet au tarif SUVA 1994. bb) On comprend que les requérants considèrent que le tarif dentaire révisé AA/Al/AM prévoit une rémunération qui n’est pas arbitraire. Il n’est pas contesté que le tarif SUVA 1994 est inférieur au tarif dentaire révisé AA/Al/AM, que celui-ci soit considéré avec une valeur de point tarifaire à 1 fr. ou même à 85 cts. Ceci ne signifie pas encore que l'application du tarif SUVA 1994 serait arbitraire. Compte tenu de la marge de manœuvre des cantons, tant dans le cadre des prestations complémentaires que dans celui des régimes sociaux cantons, ceux-ci sont libres en particulier d'évaluer différemment des assurances AA/Al/AM la marge bénéficiaire devant être garantie aux médecins-dentistes. Le tarif SUVA 1994 pourrait être arbitraire à deux égards: d’une part, s’il avait pour effet de ne pas rémunérer du tout certaines prestations pourtant dispensées quotidiennement par les médecins-dentistes, d’autre part, s’il ne permettait pas aux dentistes de dégager une légère marge bénéficiaire ("gain modeste" selon la jurisprudence du Tribunal fédéral précitée). Sur le premier plan, les requérants exposent que plusieurs prestations remboursées au titre du tarif dentaire révisé AA/Al/AM, tel que celui-ci est repris dans le référentiel des prestations dentaires admises pour le paiement des frais (version 2019), ne sont pas du tout remboursées au titre du tarif SUVA 1994 et ne figurent pas dans le référentiel des prestations dentaires admises pour le paiement des frais qui lui est applicable (version 2017). Ils mentionnent plus particulièrement la position 4.0300 intitulée " taxe de base pour la désinfection de la place de travail ", introduite par le tarif dentaire révisé AA/Al/AM et inexistante dans le tarif SUVA 1994. Cette position est rémunérée à hauteur de 11 fr. 82 (tarif dentaire révisé AA/Al/AM avec valeur de point tarifaire à 85 cts) ou 13 fr. 90 (tarif dentaire révisé AA/Al/AM avec valeur de point tarifaire à 1 fr.), alors qu'elle serait tout simplement ignorée et non rémunérée par le tarif SUVA 1994 et le référentiel correspondant (version 2017). Dans la mesure où cette prestation semble être fournie lors de la quasi-totalité des consultations dentaires, l’absence de possibilité de facturation par les médecins-dentistes non conventionnés pourrait être arbitraire. A ce grief, l’autorité intimée répond que le tarif SUVA 1994 comprenait systématiquement dans le calcul de chaque prestation une part de travail indirect fourni en faveur du patient. Le tarif révisé AA/AI/AM permet actuellement de facturer indépendamment certaines de ces prestations qui étaient auparavant inclues dans le tarif SUVA 1994. Par exemple, la prestation 4.0300 " taxe de base pour la désinfection de la place de travail " peut à présent être facturée une fois par séance pour tenir compte des charges liées à l'hygiène. Si cette position, apparue dans le tarif révisé AA/Al/AM, n'existe pas dans le tarif SUVA 1994, c’est parce que cette prestation est en réalité comprise dans les autres actes facturés. Au vu des explications qui précèdent, il n’y a pas lieu de considérer que des prestations de désinfection effectuées quotidiennement par les médecins-dentistes ne seraient pas rémunérées par le tarif SUVA dès lors qu'il concerne des services qui sont déjà compris dans des actes facturés. Même si le temps consacré aux opérations de désinfection a augmenté depuis 1994, et que par conséquent le tarif SUVA 1994 ne rémunère plus ces opérations au prix du marché, cela ne signifie pas encore que ces opérations ne sont pas rémunérées du tout. Les requérants mentionnent aussi la position 5013 intitulée " rendez-vous manqué ", introduite par le tarif dentaire révisé AA/Al/AM et le référentiel correspondant (version 2019) et inexistante dans le référentiel applicable dans le cadre du tarif SUVA 1994 (version 2017). Ils indiquent que la position 5013 est rémunérée forfaitairement 75 fr. par rendez-vous manqué, alors qu'elle ne pourrait pas être facturée en application du référentiel applicable dans le cadre du tarif SUVA 1994 (version 2017) et ne serait dès lors pas rémunérée. L'autorité intimée expose de son côté que la position 4.0130 (rendez-vous manqué) du tarif dentaire révisé AA/Al/AM ou la position 4013 du tarif SUVA 1994 ne sont pas prises en charge par les assureurs AA/Al/AM. Elle explique que, lors des discussions qui ont eu lieu avec les médecins-dentistes vaudois, l'acceptation d'une diminution de la valeur de point a été mise en lien avec la prise en compte financière des rendez-vous qui ont été manqués sans excuse dans un délai de 24 heures précédant le rendez-vous et qui n'ont pas pu être remplacés dans le planning du praticien. Il a été accepté par les partenaires conventionnels dans le cadre du référentiel 2019 de ne pouvoir facturer cette prestation qu'une seule fois par traitement et par patient, sous position 5013. De l’avis de la Cour, il n’apparaît pas que l’absence de possibilité de facturer à la charge de l'Etat les rendez-vous manqués par les médecins-dentistes non conventionnés serait arbitraire. Les dentistes restent libres de prendre les dispositions nécessaires afin de pouvoir facturer un rendez-vous manqué à leurs patients, même si ceux-ci dépendent des régimes sociaux. Pour le reste, des rendez-vous manqués relèvent du risque économique inhérent à toute activité indépendante. Il se pose encore la question de la marge bénéficiaire que le tarif SUVA 1994 permet ou non de réaliser. Les requérants soulignent que d e nombreuses prestations présentes dans le tarif SUVA 1994 ont été fortement revalorisées par le tarif dentaire révisé AA/Al/AM, que celui-ci soit considéré avec une valeur de point tarifaire à 1 fr. ou même 85 cts. Ils ne mentionnent toutefois que deux positions: - la position 4.1110, intitulée " traitement par hygiéniste dentaire ". Pour une séance d'une heure, le tarif SUVA 1994 prévoit une rémunération de 130 fr. 20, alors que le tarif dentaire révisé AA/Al/AM prévoit une rémunération de 160 fr. 10 (valeur de point tarifaire à 85 cts) ou 188 fr. 40 (valeur de point tarifaire à 1 fr.); - la position 4.2010, intitulée " extraction complexe ". Le tarif SUVA 1994 prévoit une rémunération de 43 fr. 40, alors que le tarif dentaire révisé AA/Al/AM prévoit une rémunération de 88 fr. 90 (valeur de point tarifaire à 85 cts) ou 104 fr. 60 (valeur de point tarifaire à 1 fr.). Les requérants réfutent au surplus l'argument selon lequel il serait déterminant que l’assurance obligatoire des soins applique encore le tarif SUVA 1994. Ils indiquent à ce propos que les prestations dentaires couvertes par la LAMaI sont extrêmement limitées et ne couvrent pas les prestations courantes de dentisterie qui constituent l'essentiel des prestations dentaires fournies dans le cadre des régimes sociaux. Au plan quantitatif, les soins dentaires couverts par la LAMaI ne représentent qu'entre 1% et 2% du total des soins dentaires. Il en découle que la problématique des soins dentaires couverts par la LAMaI constitue un sujet au mieux marginal pour les partenaires tarifaires et que c'est la raison pour laquelle le tarif SUVA 1994 reste à ce jour applicable dans le domaine LAMaI essentiellement au titre de scorie historique. Les assureurs LAMaI avaient d'ailleurs tardé 2-3 ans avant d'adopter le tarif SUVA 1994 et il est probable qu'il en irait de même avec le tarif dentaire révisé AA/Al/AM. Les requérants soutiennent que, basé sur l'indice suisse des prix à la consommation de 1992, il ne fait aucun doute qu'en 2019 le tarif SUVA 1994 ne permet pas au fournisseur de prestations d'évoluer dans une économie de marché et est complètement déconnecté de la réalité économique actuelle. Même s’il ressort indéniablement de ce qui précède que le tarif SUVA 1994 est plus bas que le tarif dentaire révisé AA/AI/AM, les requérants n’ont pas démontré en quoi le tarif SUVA 1994 serait arbitraire. Comme le relève à juste titre l’autorité intimée, il leur aurait appartenu de définir ce qu'il faut comprendre par " un certain bénéfice " et démontrer concrètement, c'est-à-dire chiffres et pièces à l'appui, que le nouveau tarif vaudois ne permet pas d'atteindre ce niveau de rémunération. Or, les requérants n'articulent pas de chiffre concret permettant d'évaluer l'effet prétendument intolérable du tarif vaudois sur leur revenus. Les seuls chiffres articulés concernent le chiffre d'affaire annuel moyen d'un cabinet vaudois qui serait, selon les chiffres avancés par les requérants, de 500'000 fr. avec en moyenne une part de 60'000 fr. provenant des traitements fournis dans le cadre des régimes sociaux cantonaux (cette part pouvant approcher les 100'000 fr. pour de nombreux cabinets). Ces chiffres ne renseignent toutefois pas sur la part des charges d'exploitation par rapport au chiffre d’affaires. Il convient au surplus de souligner qu’il n’est en l'espèce pas question d'une baisse du chiffre d'affaire, mais uniquement d'une absence d’augmentation, par rapport aux conditions précédentes, le tarif SUVA 1994 ayant été appliqué de manière générale jusqu'au 31 décembre 2018. A cet égard, les requérants n’indiquent pas non plus que l’application du tarif SUVA 1994 jusqu’à la fin de l’année passée aurait empêché les médecin-dentistes vaudois d'obtenir une rémunération convenable. cc) Les requérants se sont prévalus du principe de l’interdiction de l’arbitraire, en rapport avec l’incohérence et le caractère contradictoire du système de rémunération mis en place par l’arrêté du 27 mars 2019, en tant qu’il renvoie au référentiel de prestations de la Convention 2019 dans le cadre de la modification de l'art. 17 al. 1 RLVPC. L'art. 17 RLVPC avait la teneur suivante jusqu'au 31 décembre 2018: " 1 Les frais de traitement dentaire sont soumis à une procédure d'estimation et de remboursement fixée dans le cadre d'une convention passée entre le département et les instances représentant les médecins-dentistes du canton de Vaud". 2 Le montant des frais soumis à la présentation d'un devis peut être inférieur à celui fixé par l'article 8, alinéa 3 OMPC. Les frais admis sont fixés dans un référentiel annexé à la convention et établi par le médecin-dentiste conseil de l'Administration cantonale. Les devis sont préalablement approuvés par médecin-dentiste conseil, dont les déterminations fondent les décisions de la Caisse, y compris pour les médecins-dentistes non signataires de la convention. 3 Conformément à l'article 20, la convention prévoit le remboursement direct des frais de traitement dentaire aux médecins-dentistes. Les frais sont remboursés à l'ayant droit lorsque son médecin-dentiste n'est pas signataire de la convention". Depuis le 1 er janvier 2019, la teneur de l'alinéa 1 a été modifiée comme suit: " Les frais de traitement dentaire sont soumis à une procédure d'estimation et de remboursement fixée dans le cadre d'une convention passée entre le département et les médecins-dentistes du canton de Vaud. Un arrêté du Conseil d'Etat fixe les modalités de remboursement applicables pour les frais de traitements dentaires dispensés par des médecins-dentistes n'ayant pas adhéré à la convention précitée ". Il est vrai qu'il apparaît à première vue que l'art. 17 al. 2 RLVPC ne peut viser que la Convention 2019 et son annexe le référentiel des prestations dentaires admises pour le paiement des frais (version 2019), alors que le Conseil d'Etat impose aux médecins-dentistes non conventionnés l'application du tarif SUVA 1994, qui dispose de son propre référentiel. Le libellé de l'art. 17 RLVPC peut ainsi prêter à confusion. Toutefois, comme le relève l'autorité intimée, il faut le lire en gardant à l'esprit que l'art. 17 al. 1 2 e phr. RLVPC fixe les modalités de remboursement pour les médecins-dentistes n'ayant pas adhéré à la convention. L'art. 17 al. 1 1 ère phr. ainsi que les alinéas 2 (qui précise que le référentiel est annexé à la convention) et 3 s'appliquent pour leur part au dispositif conventionnel. Si l'on peut admettre que l'articulation entre les différents alinéas de l'art. 17 RLVPC n'est pas claire, il n'en demeure pas moins qu'il n'y a pas lieu de retenir que la modification de l'al. 1 de cet article est arbitraire, ceci d'autant plus les requérants n'ont pas conclu à l'annulation du règlement modifiant l'art. 17 al. 1 RLVPC.</w:t>
      </w:r>
    </w:p>
    <w:p>
      <w:r>
        <w:rPr>
          <w:b/>
        </w:rPr>
        <w:t>E. 5</w:t>
      </w:r>
    </w:p>
    <w:p>
      <w:r>
        <w:t>Les requérants estiment que le Conseil d'Etat ne dispose d'aucune délégation législative lui permettant de fixer le tarif dentaire en matière d'action sociale et d'aide aux requérants d'asile. En ce qui concerne l'action sociale, ils exposent que l'art. 33 LASV se contente de stipuler que " Les frais d'acquisition de revenu et d'insertion, de santé, de logement et les frais relatifs aux enfants mineurs dans le ménage, dûment justifiés, peuvent être payés en sus des forfaits entretien et frais particuliers " . Quant à l'art. 7 al. 1 LARA, il se limite à indiquer que " En collaboration avec le département, le département en charge de la santé organise la prise en charge médico-sanitaire des personnes visées par la présente loi ". Ils ajoutent que les art. 36 et 37 LARA s'adressant spécifiquement aux requérants d'asile ont un contenu similaire et ne contiennent pas davantage une quelconque délégation législative au Conseil d'Etat. Les requérants soutiennent dès lors qu’en édictant un tarif applicable aux fournisseurs de prestations dentaires à des personnes bénéficiaires des régimes d'action sociale ou d'aide aux requérants d'asile, le Conseil d'Etat a violé les principes de la séparation des pouvoirs et de la légalité. Les requérants ont toutefois indiqué expressément qu’ils renonçaient à conclure à l'annulation des art. 1 al. 3 let. c et d de l'arrêté attaqué, insérant respectivement l'aide sociale (LASV) et l'aide aux requérants d'asile (LARA) dans le champ de l'arrêté, ainsi qu’à l'annulation de l'art. 22 al. 4 RLASV. Le grief étant invoqué indépendamment d’une quelconque conclusion, il est exorbitant à l’objet du litige (dont on rappelle qu’il est défini par les conclusions) et il n'y a pas lieu de l'examiner. Tout au plus peut-on rappeler que les mesures d'exécution sont de la compétence du Conseil d'Etat (cf. art. 120 al. 2 Cst.-VD).</w:t>
      </w:r>
    </w:p>
    <w:p>
      <w:r>
        <w:rPr>
          <w:b/>
        </w:rPr>
        <w:t>E. 6</w:t>
      </w:r>
    </w:p>
    <w:p>
      <w:r>
        <w:t>Les requérants ont invoqué le principe de l’égalité de traitement en rapport avec leur demande de mesures provisionnelles. IIs incluent toutefois aussi ce grief dans la liste des règles de rang supérieur violées par l’acte litigieux, sans toutefois mentionner que l’arrêté du 27 mars 2019 devrait être annulé car il violerait le principe de l’égalité de traitement. Dès lors que le grief doit de toute manière être rejeté, comme exposé ci-après, il n’y pas lieu d’examiner plus en détail sa recevabilité. Selon l’art. 8 al. 1 Cst. tous les êtres humains sont égaux devant la loi. Un acte normatif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ou ce qui est dissemblable ne l’est pas de manière différente. Il faut que le traitement différent ou semblable injustifié se rapporte à une situation de fait importante (ATF 137 V 334 consid. 6.2.1 p. 348 s.). En l'occurrence, l'inégalité de traitement est fondée sur le fait que certains médecins-dentistes ont ratifié la Convention 2019 proposée par le DSAS, ce qui crée un rapport juridique particulier entre les parties. La situation de fait étant clairement différente, la différence de traitement entre médecins-dentistes conventionnés et médecins-dentistes non conventionnés ne viole pas le principe de l'égalité de traitement. De plus, chaque médecin-dentiste est libre de signer la convention et de bénéficier ainsi d'une tarification plus favorable. Supposé recevable, le grief de l'inégalité de traitement devrait ainsi être rejeté.</w:t>
      </w:r>
    </w:p>
    <w:p>
      <w:r>
        <w:rPr>
          <w:b/>
        </w:rPr>
        <w:t>E. 7</w:t>
      </w:r>
    </w:p>
    <w:p>
      <w:r>
        <w:t>Au vu de ce qui précède, la requête doit être rejetée. Un émolument judiciaire doit être mis à la charge des requérants, solidairement entre eux (art. 12 al. 2 LJC et 49 al. 1 LPA-VD). Il n'est pas alloué de dépens aux requérants, qui succombent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