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CCST.2013.0010 vom 24. Dezember 2013</w:t>
      </w:r>
    </w:p>
    <w:p>
      <w:r>
        <w:t>VD Tribunal cantonal, 2013-12-24, FR</w:t>
      </w:r>
    </w:p>
    <w:p>
      <w:r>
        <w:rPr>
          <w:b/>
        </w:rPr>
        <w:t xml:space="preserve">Quelle: </w:t>
      </w:r>
      <w:r>
        <w:t>https://mcp.opencaselaw.ch/entscheid/vd_omni_CCST.2013.0010</w:t>
      </w:r>
    </w:p>
    <w:p>
      <w:r>
        <w:t>FR: VD_OMNI CCST.2013.0010 du 24 décembre 2013</w:t>
      </w:r>
    </w:p>
    <w:p>
      <w:r>
        <w:t>IT: VD_OMNI CCST.2013.0010 del 24 dicembre 2013</w:t>
      </w:r>
    </w:p>
    <w:p>
      <w:pPr>
        <w:pStyle w:val="Heading2"/>
      </w:pPr>
      <w:r>
        <w:t>Regeste</w:t>
      </w:r>
    </w:p>
    <w:p>
      <w:r>
        <w:t>Fédération syndicale SUD Service public, Syndicat des services publics SSP/VPOD/Conseil d'Etat | La requête ayant en principe un caractère cassatoire, sous réserve de cas exceptionnels (notamment les décisions dites incitatives), une requête tendant exclusivement à ce que la Cour constitutionnelle modifie une disposition d’un règlement du Conseil d’Etat apparaît irrecevable. Question non définitivement tranchée en l’espèce dans la mesure où le rejet de la requête sur le fond s’impose : la loi sur la planification et le financement des établissements sanitaires d’intérêt public (LPFES) n’imposant pas au Conseil d’Etat de rendre obligatoires les dispositions de la Convention collective de travail dans le secteur sanitaire parapublic vaudois régissant le début et la fin des rapports de travail.</w:t>
      </w:r>
    </w:p>
    <w:p>
      <w:pPr>
        <w:pStyle w:val="Heading2"/>
      </w:pPr>
      <w:r>
        <w:t>Erwägungen</w:t>
      </w:r>
    </w:p>
    <w:p>
      <w:r>
        <w:rPr>
          <w:b/>
        </w:rPr>
        <w:t>E. 1</w:t>
      </w:r>
    </w:p>
    <w:p>
      <w:r>
        <w:t>En l'absence de conventions collectives de travail de force obligatoire, le Conseil d'Etat peut poser des exigences en matière de conditions d'engagement et de travail pour l'ensemble du personnel travaillant dans les établissements sanitaires d'intérêt public." b) Les requérants font valoir que l’art. 5 al. 1 du règlement ne serait pas conforme au droit supérieur constitué par les art. 4 al. 1 let e et 4b al. 1 LPFES imposant, selon eux, que l’application des dispositions de la CCT San comprenne non seulement les domaines de la rémunération, de la formation continue et du développement des compétences, mais aussi celui du début et de la fin des rapports de travail. La compétence, non contestée dans la présente cause, attribuée au Conseil d’Etat par la LPFES, de poser des exigences en matière de conditions d'engagement et de travail pour l'ensemble du personnel travaillant dans les établissements sanitaires d'intérêt public ne peut s’exercer qu’à défaut d’une convention collective de travail de force obligatoire, soit dont le champ d’application a été étendu au sens de la LECCT, ce qui n’est pas le cas de la CCT San. Reste à déterminer si la LPFES impose à l’autorité d’user de cette compétence réglementaire à l’égard de tous les volets des relations de travail régies par la CCT San, plus particulièrement le début et la fin des rapports de travail, ou s’il s’agit d’une simple faculté. c) A la lettre de l’art. 4b al. 1 LPFES, le Conseil d’Etat peut poser des exigences en matière de conditions d’engagement et de travail, mais il n’est pas contraint de le faire. Sur ce point, l’exposé des motifs de la LPFES comportait les passages suivants : "Le Conseil d’Etat souhaite dès lors renforcer les moyens d’intervention et de contrôle de l’Etat sur les établissements sanitaires, les EMS en particulier. (…) cela ne signifie pas pour autant qu’il souhaite se substituer à ces institutions privées et fixer d’autorité toutes les règles qu’elles doivent respecter. En d’autres termes, la responsabilité première de fixer, par exemple, les conditions d’engagement et de travail du personnel, cas échéant d’entente avec le personnel concerné, ou la politique d’achats de biens et de services, incombent aux établissements eux-mêmes. Ce n’est que si ceux-ci n’accomplissent pas leurs obligations en la matière ou s’il constate des problèmes particuliers, par exemple des avantages injustement consentis à une catégorie d’employés ou un non-respect du cadre financier imparti, que l’Etat doit pouvoir intervenir et, si nécessaire, fixer lui-même la règle du jeu. L’intervention de l’Etat n’est donc pas obligatoire, mais uniquement facultative, en application du principe de la subsidiarité. (…) C’est dans cet état d’esprit que la présente modification de la LPFES a été conçue : il incombe aux établissements sanitaires reconnus d’intérêt public et à leurs associations faîtières de déterminer les conditions de travail avec leur personnel et leurs représentants (…). S’ils ne le font pas, alors l’Etat doit avoir la faculté d’intervenir s’il l’estime nécessaire, cas échéant après consultation des associations faîtières" (BGC novembre 2006 p. 5096). "Article 4 alinéa 1 er lettres e), f) et g) Ces lettres posent les trois nouvelles conditions à remplir pour qu’un établissement sanitaire soit reconnu d’intérêt public. Compte tenu de la portée de ces nouvelles conditions et de la nécessité de les préciser plus amplement dans un article spécifique, ces trois lettres se bornent à énoncer la condition, en renvoyant à une disposition spécifique : - appliquer les dispositions  de la Convention collective de travail (CCT) s’il en existe une et si elle a été déclarée de force obligatoire ou les exigences posées par le Conseil d’Etat en matière de conditions d’engagement et de travail en vertu de l’art. 4b nouveau; - (…)" (BGC novembre 2006 p. 5104). "Article 4b (…) La compétence ainsi octroyée au Conseil d’Etat n’est que facultative et ne pourra être exercée qu’en l’absence de CCT de force obligatoire" (BGC novembre 2006 p. 5105 in fine). Il résulte ainsi tant des travaux préparatoires que de la lettre de cette disposition que l’art. 4b al. 1 LPFES est potestatif (Kann-Vorschrift) et qu’il octroie au Conseil d’Etat un libre pouvoir d’appréciation en matière de conditions d’engagement et de travail. En réglementant de façon à ériger en obligations certaines dispositions de la CCT San, mais notamment pas celles consacrées au début et à la fin des rapports de travail, le Conseil d’Etat n’a nullement abusé de son pouvoir d’appréciation. d) En réplique, les requérants objectent que la compétence réglementaire fondée sur l’art. 4b al. 1 LPFES serait globale et que, si elle a été exercée pour les conditions de travail, elle devait nécessairement l’être aussi pour les conditions d’engagement. En d’autres termes, le Conseil d’Etat aurait la faculté de réglementer ou de ne pas réglementer l’entier du champ de la CCT San, mais pas celle de limiter l’objet de sa réglementation. Cette interprétation des termes légaux : "en l'absence de conventions collectives de travail de force obligatoire, le Conseil d'Etat peut poser des exigences…", outre qu’elle ne trouve aucune assise dans les travaux préparatoires, n’est à l’évidence pas conforme à la liberté d’intervention réservée au Conseil d’Etat. Selon son appréciation de la situation, celui-ci a en effet le pouvoir d’édicter les règles qu’il estime nécessaires, sans forcément renvoyer à celles de la CCT San et moins encore à tel ou tel aspect des rapports de travail régis par cet accord. De plus, l’interprétation invoquée par les requérants reviendrait à imposer l’extension automatique de la CCT San aux employeurs et employés qui n’en voudraient pas tout en contournant les procédures prévues par la LECCT, soit en dérogeant au droit fédéral. Or, le législateur n’a pas voulu poser la fausse alternative consistant à adhérer à la CCT San ou à se faire imposer son contenu par le Conseil d’Etat. e) En définitive, l’art. 5 al. 1 du règlement s’avère parfaitement conforme à la LPFES et la requête, manifestement mal fondée, doit être rejetée. Les requérants qui succombent devront supporter les frais de la cause par 4'000 fr. (art. 49 al. 1 LPA-VD applicable par renvoi de l’art. 12 al. 2 LJC). En revanche, il n’y a pas lieu d’allouer de dépens (art. 56 al. 3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