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CCST.2011.0002 vom 6. Februar 2012</w:t>
      </w:r>
    </w:p>
    <w:p>
      <w:r>
        <w:t>VD Tribunal cantonal, 2012-02-06, FR</w:t>
      </w:r>
    </w:p>
    <w:p>
      <w:r>
        <w:rPr>
          <w:b/>
        </w:rPr>
        <w:t xml:space="preserve">Quelle: </w:t>
      </w:r>
      <w:r>
        <w:t>https://mcp.opencaselaw.ch/entscheid/vd_omni_CCST.2011.0002</w:t>
      </w:r>
    </w:p>
    <w:p>
      <w:r>
        <w:t>FR: VD_OMNI CCST.2011.0002 du 6 février 2012</w:t>
      </w:r>
    </w:p>
    <w:p>
      <w:r>
        <w:t>IT: VD_OMNI CCST.2011.0002 del 6 febbraio 2012</w:t>
      </w:r>
    </w:p>
    <w:p>
      <w:pPr>
        <w:pStyle w:val="Heading2"/>
      </w:pPr>
      <w:r>
        <w:t>Regeste</w:t>
      </w:r>
    </w:p>
    <w:p>
      <w:r>
        <w:t>Résidence Gottaz Senior SA, Résidence Le Pacific SA, PETIT-BOIS S.A., LE PARC S.A., AMSTEIN, BOLAY, CAPT, DEBLUE, FELLER, GROGNUZ, LABOUCHERE, MERCIER, MOUQUIN, NOVA VITA, PACHE, RAU, REICHEN, ROSTAN, SONNAY, SURER c/ Grand Conseil, Conseil d'Etat | A la suite de la révision de la LAMal, les cantons ont perdu une partie de leur marge de manœuvre en ce qui concerne la prise en charge de leur part de financement des prestations de soins. Ils sont désormais tenus de participer au coût des prestations définies par l'art. 25a LAMal, même lorsque celles-ci sont fournies par des établissements privés. Le Grand Conseil a édité des dispositions d'application qui soumettent à un certain nombre de conditions la prise en charge imposée par le droit fédéral, à savoir: - recourir à un prestataire de services informatiques agréé pour la gestion de son système d'information; - appliquer les dispositions d'une convention collective de travail de force obligatoire existante ou à défaut les exigences posées par le Conseil d'Etat en matière de conditions d'engagement et de travail; - appliquer les règles relatives à l'achat de biens et de services; - adhérer au réseau de soins régional conformément à la législation y relative; - appliquer un contrat d'hébergement standard; - se soumettre à la surveillance financière du canton; - fournir diverses informations statistiques, comptables et financières. La requête concluait à l'annulation des dispositions précitées - en tant qu'elles concernaient des établissements privés non reconnus d'intérêt public mais figurant dans la planification cantonale - au motif qu'elles étaient sans lien avec la qualité et le caractère économique des prestations de soins. Rejet de la requête par la Cour constitutionnelle. Recours au Tribunal fédéral admis par arrêt du 22 octobre 2012 (2C_219/2012).</w:t>
      </w:r>
    </w:p>
    <w:p>
      <w:pPr>
        <w:pStyle w:val="Heading2"/>
      </w:pPr>
      <w:r>
        <w:t>Erwägungen</w:t>
      </w:r>
    </w:p>
    <w:p>
      <w:r>
        <w:rPr>
          <w:b/>
        </w:rPr>
        <w:t>E. 1</w:t>
      </w:r>
    </w:p>
    <w:p>
      <w:r>
        <w:t>a) Selon l'art. 136 al. 2 let. 1 de la Constitution du 14 avril 2003 du Canton de Vaud (Cst-VD; RSV 101.01), la Cour constitutionnelle contrôle, sur requête déposée dans les vingt jours dès leur publication, la conformité des normes cantonales au droit supérieur. L'art. 3 de la loi du 5 octobre 2004 sur la juridiction constitutionnelle (LJC; RSV 173.32) , qui concrétise cette disposition, précise que le contrôle de la cour porte sur les actes adoptés par des autorités cantonales contenant des règles de droit (al. 1). Peuvent notamment faire l'objet d'un tel contrôle, s'ils remplissent ces conditions, les lois et les décrets du Grand Conseil (art. 3 al. 2 let. a LJC) . Tel est le cas de la modification législative du 17 mai 2011. b) Déposée dans les vingt jours suivant la publication de l'acte contesté, la requête est intervenue en temps utile (art. 5 al. 1 LJC). c) A qualité pour agir contre une règle de droit cantonal, toute personne physique ou morale qui a un intérêt digne de protection à ce que l'acte attaqué soit annulé (art. 9 al. 1 LJC). Ont également qualité pour former une requête un dixième des membres du Grand Conseil (art. 9 al. 2 let. b LJC). Déposée en l’occurrence par cinq EMS non reconnus d’intérêt public qui seront directement concernés par les nouvelles dispositions légales ainsi que par un dixième des membres du Grand Conseil, la requête est recevable.</w:t>
      </w:r>
    </w:p>
    <w:p>
      <w:r>
        <w:rPr>
          <w:b/>
        </w:rPr>
        <w:t>E. 2</w:t>
      </w:r>
    </w:p>
    <w:p>
      <w:r>
        <w:t>Les requérants soutiennent qu’un certain nombre de dispositions de la novelle du 17 mai 2011 ne sont pas conformes à la LAMal. Ils invoquent par conséquent la violation du principe de la primauté du droit fédéral. L'art 49 al. 1 de la Constitution fédérale de la Confédération suisse du 18 avril 1999 (Cst.; RS 101)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(ATF 130 I 279 consid. 2.2, JT 2006 I 212). L'existence ou l'absence d'une législation fédérale exhaustive constitue donc le critère principal pour déterminer s'il y a conflit avec une règle cantonale. Il faut toutefois souligner que, même si la législation fédérale est considérée comme exhaustive dans un domaine donné, une loi cantonale peut subsister dans le même domaine si la preuve est rapportée qu'elle poursuit un autre but que celui recherché par la réglementation fédérale (ATF 130 I 82 consid. 2.2, JT 2006 I 198 et les références citées). Le Tribunal fédéral a ainsi admis que, dans la mesure où une loi cantonale renforçait l'efficacité de la réglementation fédérale, le principe de la force dérogatoire n'était pas violé (ATF 91 I 17 consid. 5, rés. in JT 1966 I 32). En outre, même si, en raison du caractère exhaustif de la législation fédérale, le canton ne peut plus légiférer dans une matière, il n'est pas toujours privé de toute possibilité d'action (arrêt 1P.574/1993 du 5 novembre, publié in ZBl 96/1995 p. 457, consid. 6).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130 I 82 consid. 2.2, JT 2006 I 198 ; ATF 128 I 295 consid. 3b, rés. in SJ 2003 I 380 ). Ainsi, les règles cantonales qui seraient contraires au droit fédéral, notamment par leur but ou les moyens qu'elles mettent en œuvre, doivent céder le pas devant le droit fédéral (ATF 131 I 333). La règle de partage des compétences entre la Confédération et les cantons figure aux art. 3 et 42 al. 1 Cst. (Anne Benoit, Le partage vertical des compétences en tant que garant de l’autonomie des Etats fédérés en droit suisse et en droit américain, thèse Neuchâtel 2009, n° 19 ss, p. 13 ss). L’art. 3 Cst. dispose que les cantons conservent toutes les compétences que la Constitution et la législation fédérales n’attribuent pas à la Confédération (compétences propres des cantons) et que même dans les domaines où il existe une compétence fédérale et où celle-ci a été mise en œuvre par la législation fédérale, les cantons se voient confier des tâches spécifiques (compétences déléguées) (Auer/Malinverni/Hottelier, Droit constitutionnel suisse, vol. I, 2ème éd., Berne 2006, n° 1019, p. 361). Les cantons sont ainsi censés présumés compétents, sauf si la Constitution fédérale attribue une compétence à la Confédération. La Confédération n’a que les compétences que la Constitution fédérale lui attribue; les compétences non attribuées demeurent aux cantons (Aubert/Mahon, Petit commentaire de la Constitution fédérale de la Confédération suisse, Zurich/Bâle/ Genève 2003, n° 18 ad art. 3 Cst.; Benoit, op. cit., n° 21, p. 15). La Constitution fédérale ne prévoit pas de compétence générale de la Confédération en matière de santé. Il s’ensuit que la compétence pour légiférer appartient en principe aux cantons. La santé publique et les soins de la santé constituent une tâche publique des cantons (Message du Conseil fédéral du 15 septembre 2004 concernant la révision de la loi fédérale sur l’assurance-maladie [financement hospitalier], FF 2004 pp. 5207 ss, p. 5211). La Confédération dispose d’une compétence dans certains domaines spécifiques, tels la lutte contre les maladies transmissibles, les maladies très répandues et les maladies particulièrement dangereuses (art. 118 al. 2 let. b Cst.), la recherche sur l’être humain (art. 118b Cst.), la procréation médicalement assistée et le génie génétique dans le domaine humain (art. 119 Cst.) et la médecine de transplantation (art. 119a Cst.). On parle à cet égard d’une compétence fragmentaire ou partielle (Benoit, op. cit., n° 46, p. 25). L’art. 117 Cst. prévoit en outre que c’est la Confédération qui doit légiférer sur l’assurance-maladie. Comme l’art. 34bis de la Constitution de 1874, cette disposition se borne à attribuer à la Confédération une compétence globale et concurrente et même un mandat de légiférer (Aubert/Mahon, op. cit., n° 4 ad art. 117 Cst.; Tomas Poledna, Sankt-Galler Kommentar BV, n° 3 ad art. 117 Cst.). Ainsi, les compétences cantonales en matière d’assurance-maladie sociale restent valables, tant que la Confédération n’a pas épuisé ses compétences (Poledna, op. cit., n° 5 ad art. 117 Cst.). Le Tribunal fédéral a sur cette base jugé en 2003 que ni les frais de séjour en établissement médico-social, soit les frais socio-hôteliers ni, plus précisément, les frais de logement dans un tel établissement (y compris l’amortissement des bâtiments) ne tombaient sous le coup de la législation sur l’assurance-maladie obligatoire et donc de la protection tarifaire de l’art. 44 LAMal (ATF 129 I 346 consid. 3.3, rés. in SJ 2004 I 247).</w:t>
      </w:r>
    </w:p>
    <w:p>
      <w:r>
        <w:rPr>
          <w:b/>
        </w:rPr>
        <w:t>E. 3</w:t>
      </w:r>
    </w:p>
    <w:p>
      <w:r>
        <w:t>Le Conseil fédéral désigne les soins et fixe la procédure d’évaluation des soins requis.</w:t>
      </w:r>
    </w:p>
    <w:p>
      <w:r>
        <w:rPr>
          <w:b/>
        </w:rPr>
        <w:t>E. 4</w:t>
      </w:r>
    </w:p>
    <w:p>
      <w:r>
        <w:t>Le Conseil fédéral fixe le montant des contributions en francs en fonction du besoin en soins. Le coût des soins fournis avec la qualité requise et de manière efficace et avantageuse en fonction du besoin est déterminant. Les soins sont soumis à un contrôle de qualité. Le Conseil fédéral fixe les modalités.</w:t>
      </w:r>
    </w:p>
    <w:p>
      <w:r>
        <w:rPr>
          <w:b/>
        </w:rPr>
        <w:t>E. 5</w:t>
      </w:r>
    </w:p>
    <w:p>
      <w:r>
        <w:t>Il convient encore d’examiner dans quelle mesure le contrôle prévu par la LPFES est conforme aux dispositions fédérales. A ce propos, il faut tout d’abord relever que l’art. 58b al. 4 let. a LAMal prévoit que, lors de l’évaluation et du choix de l’offre qui doit être garantie par la liste, les cantons prennent notamment en compte le caractère économique et la qualité de la fourniture de prestations. Selon l’art. 58b al. 5 LAMal, lors de l’examen du caractère économique et de la qualité, les cantons prennent notamment en considération l’efficience de la fourniture de prestations et la justification de la qualité nécessaire. Ensuite, les cantons attribuent à chaque établissement sur leur liste un mandat de prestations au sens de l’art. 39 al. 1 let. e LAMal. Ceci signifie que c’est en grande partie au moment de l’inscription sur la liste des établissements admis à pratiquer à charge de l’AOS et de la mise au point du mandat de prestations que les conditions du caractère économique et de la qualité de la fourniture de prestations peuvent et doivent être examinées et établies (cf. dans ce même sens avis de droit IDS- NE p. 117). Il est par la suite nécessaire que les autorités cantonales procèdent à un certain contrôle, mais les informations doivent déjà avoir été recueillies et analysées au moment d’établir le contrat de prestations. Les art. 32a et 32b LPFES disposent ce qui suit: « Art. 32a Surveillance financière 1 Le département contrôle que les établissements sanitaires d'intérêt public et les réseaux de soins utilisent les ressources allouées conformément à l'affectation prévue. 2 Le Conseil d'Etat, après évaluations faites lors des contrôles antérieurs, détermine la portée et les modalités de ce contrôle, y compris en ce qui concerne les sous-traitants qui délivrent régulièrement des prestations couvertes par la présente loi. Le règlement définit les modalités, en particulier les principes comptables à respecter et les règles relatives à la mission, à la qualification et à l'indépendance des organes de révision. Art. 32b Informations requises et qualité 1 Les établissements sanitaires et les réseaux de soins fournissent au département toutes les informations statistiques ainsi que, s'ils sont reconnus d'intérêt public, comptables et financières, nécessaires à la définition de la politique sanitaire du canton, à la mise en oeuvre de la présente loi et de ses dispositions d'application, ainsi qu'au contrôle de leur respect. 2 Le Conseil d'Etat définit, après consultation des associations faîtières, la forme, le contenu et la périodicité des informations à fournir. 3 Le département s'assure de la qualité de la prise en charge dans les établissements sanitaires reconnus d'intérêt public ». Les requérants estiment qu’une telle exigence est typique d’un régime de subventions générales (subventions couvrant les charges d’infrastructures). A leur avis, sur le plan de la fourniture d’informations, ils ne peuvent être tenus de fournir que des informations statistiques, à l’exclusion des informations comptables et financières. Il est vrai que la formulation de l’art. 32a al. 1 LPFES est peu adéquate, dès lors que le canton n’alloue pas en l’espèce des subventions en vue d’une affectation future mais prend en charge des frais liés à des prestations déjà fournies. Cela étant, il apparaît qu’un contrôle doit pouvoir être effectué par l’autorité cantonale pour vérifier le caractère économique des prestations de soins fournies dans les EMS. Ceci implique que le canton puisse imposer certaines obligations quant à la tenue de la comptabilité. Le droit fédéral prévoit d’ailleurs, à l’art. 49 LAMal, un droit d’accès aux pièces (par renvoi de l’art. 50 LAMal pour les EMS). Cet article dispose: « 7 Les hôpitaux doivent disposer d’instruments de gestion adéquats; ils doivent en particulier, selon une méthode uniforme, tenir une comptabilité analytique ainsi qu’une statistique de leurs prestations pour calculer leurs coûts d’exploitation et d’investissement et classer leurs prestations. Ces instruments doivent comprendre toutes les données nécessaires pour juger du caractère économique, pour procéder à des comparaisons entre hôpitaux et pour établir la tarification ainsi que la planification hospitalière. Les gouvernements cantonaux et les partenaires tarifaires peuvent consulter les pièces.</w:t>
      </w:r>
    </w:p>
    <w:p>
      <w:r>
        <w:rPr>
          <w:b/>
        </w:rPr>
        <w:t>E. 8</w:t>
      </w:r>
    </w:p>
    <w:p>
      <w:r>
        <w:t>En collaboration avec les cantons, le Conseil fédéral fait procéder à l’échelle nationale à des comparaisons entre hôpitaux – qu’il publie par la suite – en ce qui concerne notamment les coûts et la qualité des résultats médicaux. Les hôpitaux et les cantons doivent livrer les documents requis à cette fin ». On relève encore que les « Recommandations sur la mise en œuvre du nouveau régime de financement des soins approuvées par le Comité directeur de la CDS le 22 octobre 2009 » prévoient (point 3.1 Soins en EMS) ce qui suit: « d) Le canton exige des EMS de structurer leurs justificatifs des coûts et des prestations, d’une part, et la facturation aux résidents en EMS, d’autre part, au minimum comme suit: I) Frais de pension (logement et nourriture) II) Encadrement (p. ex. activités socio-hôtelières) III) Prestations de soins selon les niveaux de soins requis IIIa) dont à la charge de l’AOS conformément à l’art 7a al. 3 OPAS IIIb) dont contribution personnelle des résidents en EMS au sens de l’art. 25a al. 5 LAMal IIIc) dont financement résiduel au sens de l’art. 25a al. 5 LAMal IV) Event. frais pour médecin, médicaments, thérapies et LiMA ». Une disposition cantonale imposant de tenir une comptabilité sur les bases précitées et permettant ensuite à l’autorité cantonale de vérifier les pièces comptables relatives aux prestations de soins au sens de l’art. 25a LAMal s’avère ainsi conforme au droit fédéral. A cela s’ajoute que, comme le relève le Grand Conseil dans ses déterminations du 2 septembre 2011, le département a également pour tâche de s’assurer que les résidents d’EMS n’assument pas une fraction du coût des soins supérieure à celle que les art. 25a al. 5 LAMaI et 26g al. 2 LPFES permettent de mettre à leur charge et que, pour ce faire, il lui est nécessaire d’avoir accès aux informations comptables et financières de EMS non RIP également pour la part socio-hôtelière de leurs activités, « afin de s’assurer que certaines prestations relevant en réalité du domaine des soins ne sont pas facturées à ce titre ». Par conséquent, la transmission d’informations comptables et financières dans ce cadre ne contrevient pas au droit fédéral. Est également admissible l’obligation de fournir toutes les informations nécessaires à la définition de la politique sanitaire du canton et à la mise en œuvre de la loi et de ses dispositions d’application. Dans la mesure où la LAMal exige des cantons une planification et que les EMS non reconnus d’intérêt public, mais bénéficiant du financement de l’assurance obligatoire, font partie des éléments de la politique sanitaire cantonale, la disposition est susceptible d’une interprétation conforme à la LAMal. Il appartiendra au surplus à l’autorité de veiller in concreto à ce que les informations requises aient un rapport suffisant avec la politique sanitaire du canton et à la mise en œuvre de la loi et de ses dispositions d’application. Vu ce qui précède, la requête doit être rejetée sur ce point aussi. 6. En définitive, la requête déposée le 4 juillet 2011 doit être rejetée et la novelle contestée confirmée. Les requérants, qui succombent, supporteront les frais de la cause (art. 12 al. 2 LJC et art. 49 al. 1 LPA-VD). L’émolument d’arrêt peut ainsi être fixé à 3'000 fr. (art. 1 al. 1 et 2 al. 1 TCCstelle).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