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CCST.2006.0010 vom 21. Mai 2007</w:t>
      </w:r>
    </w:p>
    <w:p>
      <w:r>
        <w:t>VD Tribunal cantonal, 2007-05-21, FR</w:t>
      </w:r>
    </w:p>
    <w:p>
      <w:r>
        <w:rPr>
          <w:b/>
        </w:rPr>
        <w:t xml:space="preserve">Quelle: </w:t>
      </w:r>
      <w:r>
        <w:t>https://mcp.opencaselaw.ch/entscheid/vd_omni_CCST.2006.0010</w:t>
      </w:r>
    </w:p>
    <w:p>
      <w:r>
        <w:t>FR: VD_OMNI CCST.2006.0010 du 21 mai 2007</w:t>
      </w:r>
    </w:p>
    <w:p>
      <w:r>
        <w:t>IT: VD_OMNI CCST.2006.0010 del 21 maggio 2007</w:t>
      </w:r>
    </w:p>
    <w:p>
      <w:pPr>
        <w:pStyle w:val="Heading2"/>
      </w:pPr>
      <w:r>
        <w:t>Regeste</w:t>
      </w:r>
    </w:p>
    <w:p>
      <w:r>
        <w:t>Commune de Corsier-sur-Vevey, Commune de Lausanne Services Industriels, Commune de St-Légier-La Chiésaz/Conseil d'Etat | Interprétation de l'art. 25 DSecEI en ce sens que les anciennes ristournes communales (sur la vente d'électricité) seront abolies dès l'entrée en vigueur du R-lus et non au moment de la perception effective de la taxe communale par les communes.</w:t>
      </w:r>
    </w:p>
    <w:p>
      <w:pPr>
        <w:pStyle w:val="Heading2"/>
      </w:pPr>
      <w:r>
        <w:t>Erwägungen</w:t>
      </w:r>
    </w:p>
    <w:p>
      <w:r>
        <w:rPr>
          <w:b/>
        </w:rPr>
        <w:t>E. 1</w:t>
      </w:r>
    </w:p>
    <w:p>
      <w:r>
        <w:t>Déposées en temps utile (art. art. 5 LJC) à l’encontre de deux règlements du Conseil d’Etat (art. 3 al. 2 let. b LJC) par des communes ayant manifestement qualité pour agir au sens de l’art. 9 al. 2 let. c LJC en tant qu’elles se plaignent d’une violation de leur autonomie, les présentes requêtes sont, en principe, recevables.</w:t>
      </w:r>
    </w:p>
    <w:p>
      <w:r>
        <w:rPr>
          <w:b/>
        </w:rPr>
        <w:t>E. 2</w:t>
      </w:r>
    </w:p>
    <w:p>
      <w:r>
        <w:t>Les requérantes ont déposé une demande tendant à la production par le Conseil d’Etat de toute pièce attestant de l’intervention du Service des communes et des relations institutionnelles dans la procédure d’adoption des règlements attaqués. Il n’y a pas lieu d’y faire droit, dans la mesure où la Cour de céans s’estime suffisamment renseignée par les pièces du dossier pour statuer en toute connaissance de cause.</w:t>
      </w:r>
    </w:p>
    <w:p>
      <w:r>
        <w:rPr>
          <w:b/>
        </w:rPr>
        <w:t>E. 3</w:t>
      </w:r>
    </w:p>
    <w:p>
      <w:r>
        <w:t>Selon l'art. 50 al. 1 Cst.,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mais uniquement le domaine litigieux. L'existence et l'étendue de l'autonomie communale dans une matière concrète sont déterminées essentiellement par la constitution et la législation cantonales (ATF 129 I 410 consid. 2.1 p. 412 ss ; 129 I 313 consid. 5.2 p. 320 ; 126 I 133 consid. 2 p. 136). Lorsqu’il ne s'agit pas d'examiner si l'autorité cantonale a correctement exercé son pouvoir de contrôle ou de surveillance, mais que le recours a pour objet un acte législatif cantonal qui fixe nouvellement en la restreignant l'autonomie des communes dans un domaine précis, les communes ne peuvent s'en prendre à cet acte qu'en tant qu'il écarte indûment une compétence législative ou un domaine d'autonomie garantis par la constitution cantonale. Elles peuvent se plaindre de ce qu'en modifiant la loi, le législateur cantonal a restreint les limites de l'autonomie communale qu'il avait antérieurement posées en violation d'autres attributions communales directement conférées par la constitution (ATF 117 Ia 352 consid. 4b p. 356 ; 113 Ia 212 consid. 3b 213 s. ; 103 Ia 191 consid. 3 p. 194 ss; pour deux affaires vaudoises: ATF 94 I 451 consid. 4 p. 457 s. et 541 consid. 4 p. 547 ss; ATF 52 I 353). Dans ce contexte, lorsqu'il y a un conflit de compétence entre le canton et la commune, qui disposent de compétences parallèles dans un domaine, il y a lieu d’examiner d'abord si le canton ou la commune est ou était compétent pour adopter les dispositions litigieuses. Si tel est le cas, il convient d’examiner ensuite si le canton a fait un usage correct de sa compétence. Dans cette hypothèse, la commune peut se plaindre de ce que la réglementation cantonale ne repose sur aucun intérêt cantonal ou régional prépondérant. Elle peut également se plaindre d'une violation du principe de proportionnalité (ATF 94 I 541 consid. 5a p. 548, Markus Dill, Die staatsrechtliche Beschwerde wegen Verletzung der Gemeindeautonomie, thèse Berne 1996, p. 96 s., p. 128 ss et les nombreuses références citées ; sur tous ces principes cf. ATF 2P.10/2006 du 16 novembre 2006, consid. 3.1. et 3.3).</w:t>
      </w:r>
    </w:p>
    <w:p>
      <w:r>
        <w:rPr>
          <w:b/>
        </w:rPr>
        <w:t>E. 4</w:t>
      </w:r>
    </w:p>
    <w:p>
      <w:r>
        <w:t>Les communes requérantes se plaignent d’une violation de leur autonomie communale telle que garantie par l’art. 139 Cst.VD. Elles reprochent, en bref, au Conseil d’Etat d’avoir adopté simultanément un règlement abolissant les ristournes aux communes telles que prévues par les art. 72 ss RLLC et un règlement prévoyant, en lieu et place, une indemnité communale liée à l’usage du sol pour la distribution et la fourniture d’électricité, sans laisser le temps nécessaire aux communes de s’adapter à cette nouvelle réglementation. A titre liminaire, il y a lieu de souligner que tant le principe de la perception des "émoluments" liés à l’usage du sol communal pour la distribution et la fourniture en électricité que l’abolition des ristournes communales résultent expressément des art. 23, respectivement  25 DSecEl. Or, la conformité  du décret du 5 avril 2005 sur le secteur électrique (DSecEl) au droit supérieur a déjà été contrôlée, sur requête, par la cour de céans qui, par arrêt du 7 octobre 2005 (CCST.2005.0002), a jugé que le décret incriminé ne portait en aucune manière atteinte à l’autonomie des communes vaudoises. Ce jugement a été entièrement confirmé par arrêt du Tribunal fédéral du 16 novembre 2006 (2P.10/2006). Il s’ensuit que ces arrêts sont dotés de la force et de l’autorité de chose jugée, si bien que les requérantes ne peuvent plus remettre en discussion, dans une nouvelle procédure, ce qui a été définitivement jugé. Autrement dit, les communes requérantes ne peuvent pas, dans le cadre de la présente procédure de contrôle abstrait des règlements litigieux adoptés par le Conseil d’Etat en exécution du DSecEL, remettre en cause – même pas de manière indirecte – les dispositions du DSecEl. Le DSecEl, qui est en vigueur depuis le 1 er novembre 2005, est donc entièrement applicable. Ainsi, dans la mesure où les requérantes soulèvent, à l’occasion de la présente procédure, des griefs qui auraient pu et dû être soulevés précédemment, soit dans le cadre de la procédure de contrôle abstrait des normes dirigée contre le DSecEL, ils sont irrecevables. Il en va de même des arguments qui ont déjà été avancés dans la procédure précédente, mais qui ont été rejetés successivement par la cour de céans et par le Tribunal fédéral. Tel est le cas notamment des divers moyens soulevés par les Communes de Corsier-sur-Vevey et de Saint-Légier - La Chiésaz en rapport avec le sort des conventions passées notamment avec la Société Elecrique Vevey-Montreux et la Société Romande d’Electricité, ainsi qu’avec les conséquences sur l’équilibre des finances communales résultant de l’abolition immédiate, sans régime transitoire, des ristournes communales (cf. arrêt précité 2P.10/2006, consid. 8). Règlement du 4 octobre 2006 sur l’indemnité communale liée à l’usage du sol pour la distribution et la fourniture en électricité (R-Ius)</w:t>
      </w:r>
    </w:p>
    <w:p>
      <w:r>
        <w:rPr>
          <w:b/>
        </w:rPr>
        <w:t>E. 5</w:t>
      </w:r>
    </w:p>
    <w:p>
      <w:r>
        <w:t>a) Les communes requérantes sont habilitées à dénoncer une éventuelle violation de leur autonomie en relation avec l’art. 23 DSecEL, en tant qu’il leur confère une compétence décisionnelle en ce qui concerne le principe même de prélever ou non une indemnité liée à l’usage du sol pour la distribution et la fourniture en électricité. (La compétence de fixer le mode de calcul de l’émolument pour toutes les communes a été déléguée au Conseil d’Etat, ce qui n’est d’ailleurs ici pas contesté). Dans ce contexte, les requérantes peuvent donc se plaindre de ce qu’en prévoyant de mettre en vigueur le 1 er janvier 2007 le Règlement sur l’indemnité communale (publié le 27 octobre 2006), le Conseil d’Etat a empêché les communes vaudoises de faire usage de cette compétence et, par là, d’avoir indûment restreint les limites de leur autonomie communale dans ce domaine protégé. De l’avis des requérantes, il serait impossible pour une commune d’édicter des prescriptions sur la perception de l’indemnité communale déjà pour le 1 er janvier 2007  du fait de la brièveté du délai de mise en œuvre (deux mois environ) accordé par le Conseil d’Etat. Elles exigent ainsi un régime transitoire plus long. Elles  font valoir  que pour décider d’introduire ou non l’indemnité en question, il est nécessaire que la municipalité prépare à l’attention du conseil général ou communal un préavis qui puisse être ensuite discuté en commission, puis accepté (ou refusé) en plénum, cette décision étant à son tour soumise à référendum. L’adoption d’un règlement communal par le conseil général ou communal prend plus de temps que celui qui a été laissé aux communes. b) A cet égard, il convient de constater qu’un groupe de travail intitulé GT3 Harmonie II a été mis sur pied du 25 avril 2006 au 29 août 2006 en vue d’élaborer notamment des projets de règlement d’exécution du DSecEl ; ce groupe était notamment composé d’une personne employée par la Commune de Lausanne, soit l’une des requérantes. Il résultait déjà du procès-verbal de la séance dudit groupe de travail du 25 avril 2006 qu’il "est prévu que le règlement sur l’usage du sol communal et le règlement sur l’émolument cantonal entrent en vigueur le 1 er janvier 2007 ". Par lettre du 8 septembre 2006, le Service de l’environnement et de l’énergie (SEVEN) a informé toutes les communes vaudoises de la teneur des règlements à venir et a expliqué clairement que le R-Ius permettrait aux communes de prélever une indemnité liée à l’usage du sol de 0,7 ct/kWh dès le 1 er janvier 2007. Les 15 et 19 septembre 2006, la Municipalité de Lausanne s’est exprimée par écrit à ce sujet, en faisant état de toute une série de problèmes d’organisation interne et de communication avec sa clientèle ; elle indiquait que, selon elle, la mise en vigueur de la nouvelle réglementation ne devrait pas intervenir avant le 1 er janvier 2008. Le Conseil d’Etat lui a répondu le 23 octobre 2006. Par avis du 25 octobre 2006, toutes les communes vaudoises ont été informées par le Conseil d’Etat de l’adoption, entre autres règlements, du R-Ius et invitées à des séances d’information qui ont eu lieu les 27 et 28 novembre, ainsi que les 4 et</w:t>
      </w:r>
    </w:p>
    <w:p>
      <w:r>
        <w:rPr>
          <w:b/>
        </w:rPr>
        <w:t>E. 7</w:t>
      </w:r>
    </w:p>
    <w:p>
      <w:r>
        <w:t>a) Les requérantes soutiennent que le Conseil d’Etat devait fixer lui-même non seulement le mode de calcul et le montant de l’indemnité communale (art. 3 al. 1 R-Ius), mais également le principe de l’obligation pour toutes les communes de percevoir ladite indemnité ; or, le Conseil d’Etat, en laissant le choix aux communes de prélever ou non une indemnité lié à l’usage du sol en édictant des prescriptions d’exécution avant le 1 er janvier 2007, aurait violé le principe de la base légale ; il aurait ainsi outrepassé la délégation législative conférée par l’art. 23 DSecEl, dont la teneur est la suivante : "1 L'usage du sol communal donne droit à un émolument tenant compte, notamment, de l'emprise au sol. Cet émolument est fixé par un règlement du Conseil d'Etat. 2 Les communes sont également habilitées à prélever des taxes communales spécifiques, transparentes et clairement déterminées permettant de soutenir les énergies renouvelables, l'éclairage public, l'efficacité énergétique et le développement durable". De l’avis des requérantes,  l’art. 23 al. 1 DSecEl ne confèrerait pas aux communes la faculté d’introduire ou non l’indemnité liée à l’usage du sol, mais les y obligerait, si bien qu’il appartenait au Conseil d’Etat d’édicter lui-même un règlement sur la perception de l’indemnité communale applicable à toutes les communes, sans sous-déléguer à celles-ci une quelconque compétence pour opter pour l’une des alternatives; le gouvernement cantonal n’était donc pas habilité à adopter l’art. 3 al. 2 R-Ius prévoyant que "la commune décide de prélever cette indemnité ou d’y renoncer et que la perception d’une indemnité partielle n’est pas possible". b)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131 II 13  consid. 7.1 p. 31 et les références citées). c) A la lumière du texte clair de l’art. 23 al. 1 er DSecEl qui prévoit notamment que l’usage du sol communal "donne droit à un émolument tenant compte, notamment, de l’emprise du sol", il y a lieu d’interpréter cette disposition en ce sens que les communes ont la possibilité, mais non l’obligation, de prélever une telle indemnité. Rien ne permet de penser que ce texte ne restitue pas le sens véritable de la disposition en question. Une telle interprétation est d’ailleurs confortée par l’interprétation systématique de la loi : en effet, l’alinéa 2 de l’art. 23 DSecEl précise que "les communes sont également habilitées à prélever" d’autres taxes communales spécifiques ; autrement dit, elles en ont la faculté mais n’y sont pas obligées. L’adverbe "également" suggère que les communes ont aussi la faculté de prélever l’indemnité communale liée à l’usage du sol, mais n’ont aucune obligation de le faire. Les travaux préparatoires ne contredisent pas cette interprétation. Si le législateur cantonal avait voulu imposer à toutes les communes vaudoises l’obligation de prélever une indemnité communale, il l’aurait expressément et clairement énoncé. Quoi qu’il en soit, les requérantes n’invoquent aucun élément à l’appui de leur thèse. D’ailleurs, il est pour le moins paradoxal que les requérantes critiquent une disposition qui respecte le mieux leur autonomie communale dans ce domaine et qu’elles demandent que le Conseil d’Etat ne laisse aucun choix aux communes de décider de prélever une indemnité ou d’y renoncer. Règlement modifiant le RLLC</w:t>
      </w:r>
    </w:p>
    <w:p>
      <w:r>
        <w:rPr>
          <w:b/>
        </w:rPr>
        <w:t>E. 8</w:t>
      </w:r>
    </w:p>
    <w:p>
      <w:r>
        <w:t>Dans la mesure où les requérantes s’en prennent au Règlement modifiant le RLLC qui abolit les ristournes communales à partir du 1 er janvier 2007, leur requête est irrecevable. En effet, elles ne peuvent plus dénoncer une violation de leur autonomie à cet égard. Dans son arrêt du 16 novembre 2006 (2P.10/2006, consid. 8), le Tribunal fédéral a déjà examiné ce grief de manière approfondie et l’a rejeté. Il est renvoyé les requérantes à cet arrêt. Il ne faut pas perdre de vue que l’abolition des ristournes résulte directement de l’art. 25 DSeEl et que le Règlement modifiant le RLLC ne fait qu’exécuter cette disposition en annulant les art. 72 à 75 RLLC relatifs aux ristournes communales. A partir du moment où l’on admet (voir supra) que le Règlement sur l’indemnité communale, en prévoyant une entrée en vigueur pour le 1 er janvier 2007, ne viole pas l’autonomie communale, il n’y a pas lieu d’examiner plus avant si l’abolition des ristournes communales pour le 1 er janvier 2007 est conforme au droit supérieur, puisque l’art. 25 DSeEl exige que l’abolition des ristournes communales se fasse simultanément avec la perception des émoluments au sens de l’art. 23 DSecEl. Certes, les requérantes se plaignent d’une violation du principe de l’exigence de la base légale à cet égard. Elles prétendent qu’une saine lecture de l’art. 25 DSecEl indiquerait que les ristournes communales ne doivent être abolies qu’au moment de la perception "effective" des émoluments communaux. Mais, indépendamment du fait qu’une telle interprétation n’est guère convaincante car l’adjectif "effective" n’y figure pas, force est de constater qu’un tel argument tombe, dès lors que, comme on vient de le voir, les communes avaient la possibilité d’introduire l’indemnité communale pour le 1 er janvier 2007. Il résulte des travaux parlementaires que l’abolition des ristournes communales se ferait avec l’entrée en vigueur du R-Ius et non au moment de la perception effective de l’indemnité communale  (cf. notamment Bulletin du Grand Conseil, 15 mars 2005, p. 8196, intervention du rapporteur Jean-Jacques Ambresin ; 5 avril 2005, p. 8539, intervention de M. Jean-Claude Mermoud, Conseiller d’Etat).</w:t>
      </w:r>
    </w:p>
    <w:p>
      <w:r>
        <w:rPr>
          <w:b/>
        </w:rPr>
        <w:t>E. 9</w:t>
      </w:r>
    </w:p>
    <w:p>
      <w:r>
        <w:t>Vu ce qui précède, il y a lieu de rejeter les requêtes dans la mesure où elles sont recevables. Succombant, les requérantes supporteront un émolument judiciaire. Elles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