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CCST.2006.0007 vom 16. Februar 2007</w:t>
      </w:r>
    </w:p>
    <w:p>
      <w:r>
        <w:t>VD Tribunal cantonal, 2007-02-16, FR</w:t>
      </w:r>
    </w:p>
    <w:p>
      <w:r>
        <w:rPr>
          <w:b/>
        </w:rPr>
        <w:t xml:space="preserve">Quelle: </w:t>
      </w:r>
      <w:r>
        <w:t>https://mcp.opencaselaw.ch/entscheid/vd_omni_CCST.2006.0007</w:t>
      </w:r>
    </w:p>
    <w:p>
      <w:r>
        <w:t>FR: VD_OMNI CCST.2006.0007 du 16 février 2007</w:t>
      </w:r>
    </w:p>
    <w:p>
      <w:r>
        <w:t>IT: VD_OMNI CCST.2006.0007 del 16 febbraio 2007</w:t>
      </w:r>
    </w:p>
    <w:p>
      <w:pPr>
        <w:pStyle w:val="Heading2"/>
      </w:pPr>
      <w:r>
        <w:t>Regeste</w:t>
      </w:r>
    </w:p>
    <w:p>
      <w:r>
        <w:t>Coopérative Taxiphone/Association de communes de la région lausannoise pour la, Taxi Services Sàrl, Département des institutions et des relations extérieures | L'institution d'un monopole pour l'exploitation par un concessionnaire d'un central d'appel unique chargé de recevoir et de diffuser toutes les commandes téléphoniques concernant les taxis A (avec permis de stationner sur le domaine public) répond à un intérêt public suffisant pour justifier cette dérogation à la liberté économique.</w:t>
      </w:r>
    </w:p>
    <w:p>
      <w:pPr>
        <w:pStyle w:val="Heading2"/>
      </w:pPr>
      <w:r>
        <w:t>Erwägungen</w:t>
      </w:r>
    </w:p>
    <w:p>
      <w:r>
        <w:rPr>
          <w:b/>
        </w:rPr>
        <w:t>E. 1</w:t>
      </w:r>
    </w:p>
    <w:p>
      <w:r>
        <w:t>a) Selon l'art. 136 al. 2 let. a de la Constitution du 14 avril 2003 du canton de Vaud (Cst-VD - RSV 101.01), la Cour constitutionnelle contrôle, sur requête déposée dans les vingt jours dès leur publication, la conformité des normes cantonales au droit supérieur. L'art. 3 LJC précise que ce contrôle porte sur les " actes adoptés par des autorités cantonales contenant des règles de droit " (al. 1). Peuvent également faire l'objet d'un tel contrôle tous les règlements, arrêtés ou tarifs communaux et intercommunaux contenant des règles de droit (art. 3 al. 3 LJC). Tel est le cas du règlement  sur le central d'appels des taxis A édicté par l'Association de communes de la région lausannoise pour la réglementation du service des taxis. b) Déposé dans les vingt jours suivant la publication de l'acte contesté, la requête est intervenue en temps utile (art. 5 al. 1 LJC). Elle invoque la violation de la liberté économique, qui est l'un des droits fondamentaux garantis aussi bien par l'art. 27 de la Constitution fédérale du 18 avril 1999 (Cst. - RS 101), que par l'art. 26 Cst.-VD. c) A qualité pour agir contre une règle de droit communal, toute personne physique ou morale qui a un intérêt digne de protection à ce que l'acte attaqué soit annulé (art. 10 al. 1 LJC). Cette définition correspond à celle de l'art. 37 al. 1 de la loi du 18 décembre 1989 sur la juridiction et la procédure administratives (LJPA - RSV 173.36), elle-même reprise de l'art. 48 de la loi fédérale du 20 décembre 1968 sur la procédure administrative (PA - RS 172.021) dans sa teneur antérieure à sa modification selon le chiffre 10 de l'annexe à la loi du 17 juin 2005 sur le Tribunal administratif fédéral (LTAF - RS 173.32) et à l'art. 103 let. a de la loi fédérale d'organisation judiciaire du 16 décembre 1943 (OJ, aujourd'hui remplacée par la loi fédérale du 17 juin 2005 sur le Tribunal fédéral [LTF - RS 173.110]). Elle peut être interprétée à la lumière de la jurisprudence du Tribunal fédéral concernant ces deux dispositions. Le recourant doit être touché par la décision attaquée de façon plus intense que n'importe quel citoyen et se trouver avec l'objet de litige dans un rapport spécial, direct et digne d'être pris en considération. Il doit éprouver personnellement et directement un préjudice juridique ou de fait. Un simple intérêt indirect ou un intérêt exclusivement général – sans le rapport étroit qui est exigé avec l'objet du litige lui-même, n'habilite pas à recourir (v. ATF 125 I 7 consid. 3c p. 9; 123 II 376 consid. 2 p. 378 et les références). Ces exigences, qui concernent les recours contre des décisions administratives, soit des actes individuels et concrets, doivent cependant être nuancés dans le domaine du contrôle abstrait des normes. La limitation du nombre des personnes ayant qualité pour agir ne vaut que dans la mesure où la règle attaquée vise elle-même un nombre restreint de personnes; lorsqu'elle s'adresse à tout un chacun ou quasiment, telle une loi fiscale, le nombre des intéressés n'est guère restreint; ce n'est qu'au vu de l'atteinte que chacun d'eux est susceptible de subir du fait de la réglementation contestée, et non en tant qu'elle le distinguerait des autres administrés, qu'il a qualité pour agir (arrêts CCST.2006.0003 du 27 octobre 2006, consid. 1e p. 7, et CCST.2006.0002 du 30 mai 2006, consid. 2a p. 7). D'autre part, alors qu'un intérêt actuel peut être exigé de celui qui entend recourir contre une décision, tel ne peut pas être le cas pour le contrôle d'une norme qui n'est pas en vigueur. Il suffit donc que l'intérêt du requérant soit virtuel, à savoir qu'avec un minimum de vraisemblance il puisse être touché une fois ou l'autre par la norme en cause (arrêts précités CCST.2006.0003 et CCST.2006.0002, et les références). d) Pour l'association de communes intimée, comme pour Taxi Services Sàrl, Coopérative Taxiphone ne démontrerait pas en quoi elle serait touchée par le règlement contesté et aurait un intérêt digne de protection à ce qu'il soit annulé. Dès lors qu'elle exploite un central d'appel pour les taxis B - même si quelques exploitants de taxis A l'auraient rejointe - la Coopérative Taxiphone ne serait pas elle-même touchée par la nouvelle réglementation et ne pourrait pas agir en lieu et place des exploitants de taxis A qui recourent à ses services; elle ne démontrerait pas " en quoi le maintien d'une claire séparation entre centraux d'appels des taxis A et des taxis B (comme c'est le cas en principe actuellement) lui porterait tort ". Si la Coopérative Taxiphone regroupe essentiellement des exploitants de taxis B, son but social ne l'empêche pas d'accueillir des exploitants de taxis A ou de leur offrir ses services (et même si c'était le cas, ses statuts pourraient être modifiés) de sorte que la réglementation contestée, qui oblige tous les exploitants de taxis A à souscrire un abonnement de services auprès du central d'appel unique qu'elle institue, priverait la Coopérative Taxiphone d'une partie de sa clientèle potentielle (à moins qu'elle ne devienne elle-même titulaire de la concession d'exploitation dudit central d'appel, ce qui ne lui est nullement assuré). En limitant ainsi un possible développement des activités commerciales de la requérante, le règlement attaqué est clairement susceptible de porter atteinte à ses intérêts économiques. Peu importe donc que l'appel d'offres qui devra précéder le choix du concessionnaire du central d'appel des taxis A soit encore à venir et que l'on ignore si la requérante voudra ou non y participer : qu'elle y renonce ou qu'elle soit évincée, elle a un intérêt, au moins virtuel, à un système où plusieurs centraux d'appel seraient en concurrence. A cet égard, et contrairement à ce que soutient l'association de communes intimée, la requérante est bel et bien touchée plus que quiconque par la réglementation contestée. Quant à savoir si c'est à bon droit qu'elle invoque le principe de libre concurrence, il s'agit d'une question de fond, et non de qualité pour agir. La requête est ainsi recevable.</w:t>
      </w:r>
    </w:p>
    <w:p>
      <w:r>
        <w:rPr>
          <w:b/>
        </w:rPr>
        <w:t>E. 2</w:t>
      </w:r>
    </w:p>
    <w:p>
      <w:r>
        <w:t>La liberté économique est garantie. Elle comprend notamment le libre choix de la profession, le libre accès à une activité économique lucrative privée et son libre exercice (art. 27 Cst.; art. 26 Cst-VD). Cette liberté protège toute activité économique privée, exercée à titre professionnel et tendant à la production d'un gain ou d'un revenu (ATF 118 Ia 175 consid. 1 p. 176). Aux termes de l'art. 36 al. 1 Cst. toute restriction à ce droit fondamental doit être fondée sur une base légale; les restrictions graves doivent être prévues par une loi. Toute restriction d'un droit fondamental doit être justifiée par un intérêt public ou par la protection d'un droit fondamental d'autrui (art. 36 al. 2 Cst.) et proportionnée au but visé (art. 36 al. 3 Cst.). L'essence des droits fondamentaux est inviolable (art. 36 al. 4 Cst.). La création d'un monopole par une collectivité publique constitue non seulement une restriction, mais bien une dérogation à cette liberté. Selon l'art. 94 al. 4 Cst., les dérogations au principe de la liberté économique, en particulier les mesures menaçant la concurrence, ne sont admises que si elles sont prévues par la Constitution ou fondées sur les droits régaliens des cantons. Quoique cette disposition paraisse interdire aux cantons de prévoir de nouvelles dérogations à la liberté économique autres que les monopoles historiques liés aux régales (René Rhinow [Grundzüge des schweizerischen Verfassungsrecht, No 2872] considère que la situation découlant des textes constitutionnels est confuse), le Tribunal fédéral a jugé qu'elle venait sur ce point préciser la portée de la liberté économique, sans pour autant modifier la situation qui prévalait sous l'ancienne constitution. La Constitution fédérale consacre ainsi un ordre économique fondé sur la libre concurrence (Message relatif à la Constitution fédérale, FF 1997 p. 176). L'obligation pour l'Etat de se comporter de manière neutre sur le plan de la concurrence n'est toutefois pas absolue. En dehors des droits régaliens historiques des cantons, qui ne sont pas concernés ici, les dérogations à la liberté économique, telle que l'instauration d'un monopole, sont admissibles pour autant que ces dérogations poursuivent un but de police ou de politique sociale, à l'exclusion de politique économique (ATF 132 I 282 consid. 3.1 et 3.3 p. 287 et les arrêts cités).</w:t>
      </w:r>
    </w:p>
    <w:p>
      <w:r>
        <w:rPr>
          <w:b/>
        </w:rPr>
        <w:t>E. 3</w:t>
      </w:r>
    </w:p>
    <w:p>
      <w:r>
        <w:t>En l'occurrence la recourante ne paraît pas contester que le monopole dont elle combat l'instauration repose sur une base légale, soit un règlement intercommunal soumis au référendum (art. 120a LC; art. 112 de la loi du 16 mai 1989 sur l'exercice des droits politiques [LEDP – RSV 160.01]) adopté conformément à la loi sur les communes (art. 119 LC) dans un domaine relevant de la compétence des communes (art. 8 al. 1 de la loi vaudoise du 25 novembre 1974 sur la circulation routière [LVCR – RSV 741.01]). Tout au plus la requérante laisse-t-elle entendre que cette réglementation ne serait pas suffisamment claire et précise, dans la mesure où elle ne fait pas expressément mention du terme de monopole. Ce grief, à peine ébauché parmi d'autres considérations sans pertinence au chapitre de l'exigence de la base légale, apparaît manifestement mal fondé. Si une base légale claire est nécessaire pour fonder une mesure aussi grave qu'un monopole (Pascal Mahon, in Aubert/Mahon, Petit commentaire de la Constitution fédérale de la Confédération suisse, n. 22b ad art. 27 Cst.), l'usage du terme "monopole" comme d'une formule sacramentelle n'est pas requis. Dans le cas particulier, la réglementation attaquée ne souffre d'aucune ambiguïté : elle prévoit un " central d'appel unique… chargé de recevoir et de diffuser toutes les commandes téléphoniques concernant les taxis A " (art. 2 al. 1 RCAp), la délivrance d'une concession pour l'exploitation de ce central unique (art. 3 al. 1 RCAp) avec l'obligation pour le concessionnaire d'admettre tous les exploitants de taxis A à titre d'abonnés (art. 4 al. 2 RCAp), ainsi que l'obligation pour tous les titulaires d'une autorisation d'exploitation A de souscrire un abonnement au service de transmission de commandes diffusées par le central, à l'exclusion de tout abonnement à un autre central (art. 6 RCAp). On ne saurait être plus explicite.</w:t>
      </w:r>
    </w:p>
    <w:p>
      <w:r>
        <w:rPr>
          <w:b/>
        </w:rPr>
        <w:t>E. 4</w:t>
      </w:r>
    </w:p>
    <w:p>
      <w:r>
        <w:t>Au chapitre de l'intérêt public, la requérante considère que " personne n'est en mesure d'expliquer en quoi l'intérêt public, soit celui de la collectivité d'une part et de la clientèle d'autre part, serait mieux desservi par un central unique plutôt qu'avec deux centrales". Dans le préavis établi le 24 mars 2006 par le comité de direction à l'intention du conseil intercommunal, la justification d'un central d'appel unique pour les taxis A fait l'objet des considérations suivantes (p. 3) : "Pour assurer une réponse rapide, tous les jours de l’année et à toute heure, à toutes les commandes de courses - c’est-à-dire non seulement les courses "standard" qui aboutissent au central, mais aussi les courses des écoles et celles effectuées dans le cadre de la collaboration avec les Transports publics de la région lausannoise - un central d’appel doit pouvoir disposer en tout temps d’un nombre suffisant de taxis. En effet, l’expérience de ces trois dernières années a démontré qu’avec deux centraux d’appel, de très nombreuses courses ont, faute de voitures disponibles, soit été effectuées dans des délais insatisfaisants, soit carrément pas pu être honorées. De plus, dans ce genre de cas, le client rappelle et/ou appelle un autre central, avec le risque que deux taxis se trouvent finalement au lieu de commande et que l’un d’eux reparte à vide. Il apparaît donc que l’exploitation de deux centraux d’appel des taxis A, voire plus, entraînerait une diminution sensible de la qualité du service tout en provoquant la circulation inutile et un plus grand nombre de véhicules, par rapport à la coordination optimale que permet d’obtenir un seul central. " Dans son arrêt du 7 avril 2005 sur le recours de la Coopérative (GE.2004.0055), le Tribunal administratif a retenu qu'à compter du 1 er janvier 2003, tant Intertaxis SA que la Coopérative exploitaient l'une et l'autre un central d'appel pour taxis de place, que ces centraux distribuaient les courses auprès des adhérents de chacune de ces sociétés et qu'il en découlait, selon la municipalité et Intertaxis SA, une perte de recettes importante, dans la mesure où les clients étaient tentés d'appeler chacune de ces centrales et de prendre le premier véhicule qui se présentait, le second circulant quant à lui à vide. Le tribunal a également retenu que la Coopérative n'avait pas été en mesure de donner suite à l'ensemble des commandes provenant de ses clients (soit quelque 50'000 courses en 2003 et 34'000 en 2004). Sur l'admissibilité d'une centrale d'appel unique pour les taxis A, le Tribunal administratif (après avoir conclu au défaut de base légale suffisante) s'est en outre exprimé de la manière suivante: "En revanche, le tribunal estime par ailleurs que la création d’un monopole, pour l’exploitation de la centrale ici en cause, répondrait à un intérêt public suffisant. En particulier, il aurait pour avantage d’éviter des trajets inutiles (on cite ici l’exemple d’un client appelant les deux centrales). Il serait également conforme au principe de la proportionnalité ; en particulier, l’existence d’une centrale unique faciliterait l’accès du client au service de taxis et permettrait, dans une plus large mesure qu’actuellement, que les commandes soient honorées. L’autorité n’excéderait sans doute pas son pouvoir d’appréciation en choisissant une telle solution, même si d’autres collectivités (tel le canton de Genève où existent cinq centrales) connaissent des solutions différentes." La cour de céans est aussi d'avis qu'il existe un intérêt public à la création d'un monopole. La distinction entre taxis A et taxis B ne tient pas uniquement dans la possibilité – et l'obligation – pour les premiers d'utiliser les places de stationnement qui leur sont réservées sur le domaine public (art. 12 al. 2 let. a et 66 RIT), alors que les seconds doivent regagner un emplacement sis sur propriété privée sitôt leur course achevée (art. 12 let. b RIT). En contrepartie de l'avantage que constitue la possibilité d'attendre la clientèle sur les emplacements qui leur sont réservés sur le domaine public (stations officielles de taxis), les titulaires d'autorisations A se voient imposer de nombreuses obligations, dont celle de se prêter aux mesures propres à assurer l'occupation régulière des stations (art. 66 al. 2 RIT), d'utiliser les installations radio émettrices réceptrices dont sont munis leurs véhicules et de répondre aux appels leur parvenant par cette voie (art. 68 al. 3 RIT) et d'appliquer un tarif uniforme et approuvé par l'autorité (art. 73 al. 3 RIT). Cela permet de leur faire assurer un service public complémentaire aux transports publics collectifs. Dans cette perspective, le souci de coordonner l’activité des quelque 240 taxis A qui desservent l’arrondissement (v. arrêt GE.2004.0055 du 7 avril 2005, p. 12 in fine) répond assurément à une préoccupation d’intérêt général. Un central unique permet de mieux satisfaire les besoins des usagers en dirigeant vers eux la voiture disponible la plus proche - ce qui ne sera pas nécessairement le cas si plusieurs centraux se partagent le marché - et, en cas de forte demande, garantit de disposer de l'entier du parc de taxis, ce qui améliore la qualité du service public. D'autre part, en empêchant qu’une même course soit commandée à plusieurs taxis au travers de centraux différents, on prévient d’inutiles courses à vide qui sans cela contribueraient à l’engorgement du trafic et à la pollution atmosphérique.</w:t>
      </w:r>
    </w:p>
    <w:p>
      <w:r>
        <w:rPr>
          <w:b/>
        </w:rPr>
        <w:t>E. 5</w:t>
      </w:r>
    </w:p>
    <w:p>
      <w:r>
        <w:t>La requérante soutient encore que remédier aux inconvénients susmentionnés par un central d’appel unique contreviendrait au principe de la proportionnalité, dès lors qu’il ne serait pas établi « que nulle autre solution, plus douce, n’est possible, pour atteindre le but recherché. » Or on voit mal comment cette preuve négative pourrait être rapportée, dès lors que la requérante n’avance elle-même pas la moindre ébauche de solution plus respectueuse de la liberté économique. La comparaison avec d’autres villes, telles que Genève et Zurich, qui n’imposent pas à leurs taxis A un seul central d’appels, n’apparaît à cet égard guère pertinente. D’une ville à l’autre, les conditions locales peuvent être très différentes, et les autorités disposent d’une grande liberté d’appréciation dans la manière de gérer la question des transports publics. Pour qu’une dérogation à la liberté économique apparaisse conforme à l’intérêt public et au principe de la proportionnalité, on ne saurait exiger qu’elle présente un tel caractère de nécessité qu’elle serait adoptée uniformément dans tout le pays. On observera enfin que la réglementation contestée remplace une situation de monopole de fait (ou plus exactement de monopole de droit indirect – v. arrêt GE2004.0055 consid. 5 p. 21) qui a duré plus de quarante ans, tant que la commune de Lausanne était propriétaire du central d’appel des taxis de place. La reconduction d’un régime de monopole n’est en l’occurrence pas de nature à causer un préjudice sensible à la requérante, qui admet être d’abord un central d’appels des taxis B, même si elle accueille également quelques taxis A. La requête doit en conséquence être rejetée.</w:t>
      </w:r>
    </w:p>
    <w:p>
      <w:r>
        <w:rPr>
          <w:b/>
        </w:rPr>
        <w:t>E. 6</w:t>
      </w:r>
    </w:p>
    <w:p>
      <w:r>
        <w:t>Conformément aux art. 38 al.1 et 55 LJPA, applicables par renvoi de l’art. 12 LJC, un émolument sera mis à la charge de la requérante, qui supportera également les dépens auxquels peuvent prétendre l’association de communes intimée et Taxi Services Sàrl, qui ont toutes deux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