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BO.2024.0009 vom 9. August 2024</w:t>
      </w:r>
    </w:p>
    <w:p>
      <w:r>
        <w:t>VD Tribunal cantonal, 2024-08-09, FR</w:t>
      </w:r>
    </w:p>
    <w:p>
      <w:r>
        <w:rPr>
          <w:b/>
        </w:rPr>
        <w:t xml:space="preserve">Quelle: </w:t>
      </w:r>
      <w:r>
        <w:t>https://mcp.opencaselaw.ch/entscheid/vd_omni_BO.2024.0009</w:t>
      </w:r>
    </w:p>
    <w:p>
      <w:r>
        <w:t>FR: VD_OMNI BO.2024.0009 du 9 août 2024</w:t>
      </w:r>
    </w:p>
    <w:p>
      <w:r>
        <w:t>IT: VD_OMNI BO.2024.0009 del 9 agosto 2024</w:t>
      </w:r>
    </w:p>
    <w:p>
      <w:pPr>
        <w:pStyle w:val="Heading2"/>
      </w:pPr>
      <w:r>
        <w:t>Regeste</w:t>
      </w:r>
    </w:p>
    <w:p>
      <w:r>
        <w:t>A.________/Office cantonal des bourses d'études et d'apprentissage | Confirmation du refus de l'OCBEA d'octroyer une bourse d'étude pour une formation à l'étranger: le raisonnement du recourant tendant à se baser sur les conditions d'admission fixés par des établissements non reconnus au sens de l'art. 11 LAEF pour examiner le respect de la condition de l'art. 12 al. 1 let. a LAEF est erronné; à tout le moins, il ne devrait s'appliquer que s'il n'existe pas en Suisse d'établissements de formation reconnus proposant une formation équivalente ou comparable, ce qui n'est pas le cas en l'espèce. Recours rejeté.</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Par formation équivalente ou comparable en Suisse au sens de la loi, il faut entendre la formation en Suisse qui permet d’obtenir un titre de même niveau dans le domaine de formation visé ou dans un domaine connexe.</w:t>
      </w:r>
    </w:p>
    <w:p>
      <w:r>
        <w:rPr>
          <w:b/>
        </w:rPr>
        <w:t>E. 3</w:t>
      </w:r>
    </w:p>
    <w:p>
      <w:r>
        <w:t>Les motifs qui précèdent conduisent au rejet du recours et à la confirmation de la décision attaquée. Le recourant, qui succombe, supportera les frais de justice (cf. art. 49 al. 1 LPA-VD). L'allocation de dépens n'entre pas en considération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