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BO.2023.0011 vom 13. Mai 2024</w:t>
      </w:r>
    </w:p>
    <w:p>
      <w:r>
        <w:t>VD Tribunal cantonal, 2024-05-13, FR</w:t>
      </w:r>
    </w:p>
    <w:p>
      <w:r>
        <w:rPr>
          <w:b/>
        </w:rPr>
        <w:t xml:space="preserve">Quelle: </w:t>
      </w:r>
      <w:r>
        <w:t>https://mcp.opencaselaw.ch/entscheid/vd_omni_BO.2023.0011</w:t>
      </w:r>
    </w:p>
    <w:p>
      <w:r>
        <w:t>FR: VD_OMNI BO.2023.0011 du 13 mai 2024</w:t>
      </w:r>
    </w:p>
    <w:p>
      <w:r>
        <w:t>IT: VD_OMNI BO.2023.0011 del 13 maggio 2024</w:t>
      </w:r>
    </w:p>
    <w:p>
      <w:pPr>
        <w:pStyle w:val="Heading2"/>
      </w:pPr>
      <w:r>
        <w:t>Regeste</w:t>
      </w:r>
    </w:p>
    <w:p>
      <w:r>
        <w:t>A.________/Office cantonal des bourses d'études et d'apprentissage | Condition pour le financement d'un logement séparé lors de l'octroi d'une bourse. Le recourant dont le domicile d'aide a été "transféré" du canton de Fribourg au canton de Vaud ne doit pas être discriminé en péjorant les conditions dans lesquelles il a droit à un soutien et en particulier la condition d'avoir financé soi-même la charge d'un logement durant deux ans prévu dans la législation vaudoise. C'est donc à tort que l'autorité intimée a refusé de tenir compte des frais liés à un logement séparé dans le montant de la bourse allouée au recourant. Admission du recours.</w:t>
      </w:r>
    </w:p>
    <w:p>
      <w:pPr>
        <w:pStyle w:val="Heading2"/>
      </w:pPr>
      <w:r>
        <w:t>Erwägungen</w:t>
      </w:r>
    </w:p>
    <w:p>
      <w:r>
        <w:rPr>
          <w:b/>
        </w:rPr>
        <w:t>E. 1</w:t>
      </w:r>
    </w:p>
    <w:p>
      <w:r>
        <w:t>Aux termes de l'art. 92 al. 1 de la loi vaudoise du 28 octobre 2008 sur la procédure administrative (LPA-VD; BLV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sur réclamation rendues par l’OCBE, la loi du 1 er juillet 2014 sur l'aide aux études et à la formation professionnelle (LAEF; BLV 416.11) ne prévoyant pas d'autre autorité pour en connaître. Déposé en temps utile (art. 95 LPA-VD), selon les formes prescrites par la loi (art. 79 al. 1 et 99 LPA-VD), le recours est formellement recevable, de sorte qu'il y a lieu d'entrer en matière sur le fond.</w:t>
      </w:r>
    </w:p>
    <w:p>
      <w:r>
        <w:rPr>
          <w:b/>
        </w:rPr>
        <w:t>E. 2</w:t>
      </w:r>
    </w:p>
    <w:p>
      <w:r>
        <w:t>Le litige porte sur le calcul de la bourse à laquelle le recourant a droit pour sa période de formation 2022/2023. La question initialement contestée de la prise en considération des revenus des parents et beaux-parents du recourant n'est plus remise en cause dans le recours. En revanche, le recourant critique la décision attaquée en tant qu'elle ne prendrait pas en compte les charges liées au logement propre du recourant. Elle aurait également omis de prendre en compte un complément aux frais de repas, auquel le recourant aurait droit, dans ses frais de formation. L'autorité intimée conteste de son côté que le recourant remplisse les conditions pour une prise en charge des frais d'un logement propre. Subsidiairement, s'il fallait admettre la prise en compte de telles charges, l'autorité intimée rappelle qu'il y aurait alors lieu de réduire les frais de formation en conséquence.</w:t>
      </w:r>
    </w:p>
    <w:p>
      <w:r>
        <w:rPr>
          <w:b/>
        </w:rPr>
        <w:t>E. 3</w:t>
      </w:r>
    </w:p>
    <w:p>
      <w:r>
        <w:t>Il y a lieu de brièvement présenter le cadre légal applicable. a) Selon l’art. 14 LAEF, l’Etat octroie son aide en principe sous forme de bourses et exceptionnellement sous forme de prêts (al. 1); l’allocation est accordée pour un an. Elle est renouvelable dans les limites des conditions et modalités d’octroi posées par la présente loi (al. 2). A teneur de l'art. 2 LAEF, par son aide financière, l'Etat assure aux personnes en formation des conditions minimales d'existence et promeut l'égalité des chances en visant à supprimer tout obstacle financier à la poursuite d'études et à la formation professionnelle (al. 1). Toute personne remplissant les conditions fixées par la présente loi a droit au soutien de l'Etat (al. 2). Cette aide est subsidiaire à celle de la famille, de toute autre personne tenue légalement de pourvoir à l'entretien de la personne en formation, ainsi qu'aux prestations de tiers (al. 3). Les principes de calcul de l'aide financière sont posés à l'art. 21 LAEF. L’aide de l’Etat couvre les besoins du requérant, comprenant ses charges normales et ses frais de formation, dans la mesure où ils dépassent sa capacité financière et celle des autres personnes de l'unité économique de référence (art. 21 al. 1 LAEF). L'unité économique de référence comprend le requérant, ses parents et les autres enfants mineurs ou majeurs à charge de la famille, ainsi que toute autre personne tenue légalement de pourvoir à son entretien (art. 23 al. 1 LAEF). Les besoins du requérant sont déterminés en fonction d’un budget établi pour l’année de formation considérée (art. 21 al. 2 LAEF). Le budget du requérant et, le cas échéant, des personnes visées à l'article 23 al. 3 LAEF, est séparé de celui des personnes visées à l'article 23 al. 1 et 2 LAEF. Lorsque les parents du requérant sont séparés ou divorcés, des budgets séparés propres à chaque cellule familiale sont établis, sous réserve de l'article 24 al. 1 et 2 LAEF (art. 21 al. 3 LAEF). La capacité financière est définie par la différence entre les charges normales et le revenu déterminant (art. 21 al. 4 LAEF). La loi du 9 novembre 2010 sur l'harmonisation et la coordination de l'octroi des prestations sociales et d'aide à la formation et au logement cantonales vaudoises (LHPS; BLV 850.03) est applicable en ce qui concerne la notion de revenu déterminant, la définition de l'unité économique de référence et la hiérarchisation des prestations sociales (al. 5). Aux termes de l'art. 29 LAEF, les charges normales correspondent aux frais mensuels minimum d'une famille et comprennent, notamment, le logement, l'entretien, les assurances, les frais médicaux et dentaires, les frais de garde, les impôts, ainsi que les loisirs (al. 1). Elles sont établies de manière forfaitaire selon un barème tenant compte de la composition de la famille et du lieu de domicile. Elles sont adoptées et réexaminées périodiquement par le Conseil d'Etat sur préavis de la Commission cantonale des bourses d'études (al. 2). Cette disposition est concrétisée à l'art. 34 du règlement d'application du 11 novembre 2015 (RLAEF; BLV 416.11.1) et du barème dans leur version en vigueur au moment où la décision attaquée a été rendue, lequel précise que les charges normales fixées par le barème sont composées des charges normales de base, auxquelles s'ajoutent les charges normales complémentaires et la charge fiscale (al. 1). Les charges normales de base comprennent notamment le logement, l'entretien et l'intégration sociale. Elles sont établies selon un forfait tenant compte du domicile pris en considération (al. 2). Les charges normales complémentaires comprennent notamment l'assurance-maladie, les frais médicaux et dentaires, ainsi que les autres frais. Elles sont établies de manière forfaitaire selon la composition de la famille (al. 3). Selon les travaux préparatoires, le recours aux forfaits se justifie car il n'est pas possible de prendre en compte les frais effectifs qui sont, par nature, fort variables (EMPL, Bulletin du Grand Conseil, octobre 2013, ad art. 29, p. 38). Il ressort par ailleurs de la jurisprudence constante du Tribunal cantonal que la loi tient compte des dépenses normales forfaitaires d'une famille, indépendamment des charges réelles et de la situation financière effective de celle-ci. Ainsi, les éléments à prendre en compte dans le calcul de l'allocation d'une bourse sont préétablis et ils ne peuvent être modifiés en fonction des circonstances particulières de la famille. La prise en compte d'une somme forfaitaire est, certes, très schématique et ne permet pas de tenir compte de la situation financière concrète d’une famille, mais elle garantit l'égalité de traitement pour tous les requérants, quelle que soit leur situation. Le Tribunal cantonal a souligné que l'application de forfaits permettait de traiter de manière semblable des familles présentant une situation financière et personnelle identique, soit quant à leur revenu déterminant et à leur composition. Dans le cas inverse, il serait assurément contraire à l'égalité de traitement que des familles, comprenant le même nombre de membres et disposant du même revenu déterminant, soient traitées de manière différente en raison de charges effectives différentes dépendant principalement du niveau de vie poursuivi par lesdites familles (CDAP BO.2022.0014 du 22 décembre 2022 consid. 2c; BO.2022.0005 du 6 octobre 2022 consid. 3a; BO.2021.0017 du 7 juin 2022 consid.</w:t>
      </w:r>
    </w:p>
    <w:p>
      <w:r>
        <w:rPr>
          <w:b/>
        </w:rPr>
        <w:t>E. 4</w:t>
      </w:r>
    </w:p>
    <w:p>
      <w:r>
        <w:t>En l'espèce, l'autorité intimée a retenu dans sa décision sur réclamation que les conditions des art. 28 et 29 LAEF n'étaient pas remplies, mais qu'en revanche les conditions de l'art. 30 LAEF, respectivement art. 39 al. 1 let. a RLAEF, l'étaient dans la mesure où la mère du recourant était domiciliée à l'étranger et que le recourant était "originaire du canton de Vaud". Elle a ainsi compté pour ce logement un forfait de 500 fr. par mois ajoutés aux frais de formation du recourant. Ce dernier conteste une absence de prise en compte de son logement propre invoquant avoir assumé seul un tel logement pour deux ans au moins avant le début de sa formation, respectivement la demande de bourse. Il estime ainsi qu'il remplit les conditions de l'art. 29 al. 3 let. a LAEF. Le recourant a produit, dans le cadre de la procédure devant la cour de céans, plusieurs pièces en lien avec un bail à loyer ayant commencé à tout le moins au mois d'août 2020. Il résulte désormais du dossier les éléments suivants: le recourant a pu démontrer avoir disposé d'un logement propre au sens de l'art. 29 LAEF depuis juillet ou août 2020, ce qui est a priori suffisant s'agissant de la durée. Le fait que ce logement ait été pris à bail par plusieurs personnes en même temps (colocation) n'y change rien. S'agissant des revenus, le recourant indique maintenant avoir exercé de 2017 à 2020 une activité lucrative, respectivement avoir reçu des prestations de l'assurance perte de gains (pour les périodes de service militaire) lui permettant d'assumer seul ses frais de logement. Il résulte des décisions de taxation fribourgeoises produites que ses revenus bruts avant déduction ont été de l'ordre de 20'000 fr. en 2020 et de 23'000 fr. en 2019. Pour l'année 2021, il n'est pas contesté que le recourant a bénéficié d'une bourse dans le canton de Fribourg d'un montant de 16'000 fr., tout en exerçant une activité lucrative pour des revenus annuels de l'ordre de 6'000 francs. Les trois motifs de l'art. 29 al. 3 LAEF qui permettent de prendre en compte les frais d'un logement propre ont en commun d'être des situations dans lesquelles il apparaît comme justifié pour un requérant d'avoir un tel logement. Ainsi, s'il a constitué une cellule familiale propre avec enfant à charge ou qu'il connaît des dissensions établies avec ses parents, on peut admettre la nécessité d'un tel logement. La loi met sur un pied d'égalité ces deux situations avec celle à laquelle prétend le recourant et qui consiste à avoir assumé seul les frais liés à un logement propre pendant 2 ans au moins. On peut ainsi admettre que la condition mentionnée à l'art. 29 al. 3 let. a LAEF consiste à ce que l'Etat ne prenne à sa charge les frais, plus élevés, d'un logement propre que s'il l'on ne peut pas légitimement demander au requérant, qui habite déjà dans un tel logement depuis deux ans, une forme de retour en arrière. En précisant que le requérant doit avoir "assumé" ce logement depuis deux ans, la loi indique d'ailleurs clairement qu'il doit en avoir porté la charge financière, lui-même et pas un tiers. Or, comme on l'a vu, il est en l'espèce incontestable que le recourant était (co)locataire d'un logement à ******** depuis plus de deux ans. Par ailleurs, il y a lieu de retenir qu'il a assumé seul ses frais de logement durant les deux ans avant sa demande de bourse. Les extraits des comptes bancaires du frère du recourant montrent déjà qu'un loyer est acquitté, notamment l'ordre de débit du 5 août 2020 pour 1'600 fr. ou les ordres des 1 er septembre 2020, 6 octobre 2020 et 1 er novembre 2020 pour 3'200 francs. On voit en même temps que le recourant effectue certains versements sur le compte de son frère, comme par exemple 1'000 fr. virés par Twint le 5 octobre 2020 ou 500 fr. virés le 8 janvier 2021. Dans de telles circonstances, compte tenu aussi des relations entre frères et du fait que le recourant est amené en 2023 à prouver des faits qui se sont produits entre 2020 et 2022, on peut admettre que ce dernier est parvenu à démontrer qu'il assumait lui-même son logement sur un plan financier. Certes, comme le souligne l'autorité intimée, le recourant a bénéficié en 2021 d'une bourse de la part du canton de Fribourg où il est domicilié. Il résulte d'ailleurs du dossier (pièce 19 du recourant) que cette bourse a pris en considération les frais de logement du recourant, sans que l'on puisse savoir nécessairement si cette prise en considération est équivalente à celle fixée dans la décision attaquée (troisième hypothèse de financement évoquée si avant) ou s'il s'agissait de prendre en compte des frais effectifs. Toutefois, dans les circonstances particulières du cas d'espèce, l'octroi de cette bourse durant l'année 2020/2021 par le canton de Fribourg ne saurait empêcher de considérer que le recourant a effectivement assumé seul son logement. En effet, soit la bourse fribourgeoise ne couvrait pas effectivement les frais de ce logement et dans ce cas, force est de constater que le recourant doit être reconnu comme ayant assumé seul les frais de son logement. Soit, au contraire, la décision fribourgeoise couvrait de tels frais, mais il n'est cependant pas possible de retenir cet élément à l'encontre du recourant. On rappelle en effet que ce dernier, sans changement dans sa propre situation ni dans son domicile a vu la compétence de financer la bourse à laquelle il peut prétendre transférée du canton de Fribourg au canton de Vaud. Dans ce sens, le recourant a été d'une certaine manière "transféré" du canton de Fribourg au canton de Vaud puisqu'après avoir reçu une bourse à Fribourg en 2021, il a été pris en charge par le canton de Vaud. Or, ce transfert intercantonal, qui n'est pas remis en cause dans la présente procédure, ne saurait être retenu contre le recourant en péjorant les conditions dans lesquelles il a droit à un soutien. La condition d'avoir financé soi-même la charge d'un logement devrait dans cette hypothèse être interprétée pour ne pas discriminer le recourant uniquement à raison non pas d'un transfert de domicile, mais bien d'un changement de canton compétent pour traiter et financer sa bourse d'étude. C'est donc à tort que l'autorité intimée a refusé de tenir compte des frais liés à un logement séparé dans le montant de la bourse allouée au recourant. En revanche, il y aura lieu de réduire le montant dû au titre de frais de formation, au sens de l'art. 30 LAEF, pour éviter une double indemnisation du logement.</w:t>
      </w:r>
    </w:p>
    <w:p>
      <w:r>
        <w:rPr>
          <w:b/>
        </w:rPr>
        <w:t>E. 5</w:t>
      </w:r>
    </w:p>
    <w:p>
      <w:r>
        <w:t>Il résulte de ce qui précède que le recours doit être admis, la décision attaquée annulée et le dossier retourné à l’autorité intimée afin qu'elle tienne compte, dans la bourse accordée au recourant, du montant prévu par le barème de l'annexe au RLAEF pour la prise en charge d'un logement séparé. Vu le sort du recours, le présent arrêt est rendu sans frais. a) Compte tenu de ses ressources, le recourant a été mis au bénéfice de l'assistance judiciaire par décision du 23 octobre 2023. Le conseil d'office peut prétendre à un tarif horaire de 180 fr. en tant qu'avocat; l'avocat-stagiaire peut prétendre, quant à lui, à une rémunération au tarif ordinaire de 110 fr. (art. 2 al. 1 let. a et b du règlement vaudois du</w:t>
      </w:r>
    </w:p>
    <w:p>
      <w:r>
        <w:rPr>
          <w:b/>
        </w:rPr>
        <w:t>E. 7</w:t>
      </w:r>
    </w:p>
    <w:p>
      <w:r>
        <w:t>décembre 2010 sur l'assistance judiciaire en matière civile [RAJ; BLV 211.02.3], applicable par renvoi de l'art. 18 al. 5 LPA-VD) et au remboursement de ses débours fixés forfaitairement à 5% du défraiement hors taxe en première instance judiciaire (cf. art. 3bis al. 1 RAJ). En l'occurrence, Me Guillaume Lammers a annoncé dans la liste d'opérations qu'il a produite avoir consacré 20 heures à l'affaire au total, à raison de 6,50 heures en 2023 et 1,90 heure en 2024 pour lui-même, et de 8,50 heures en 2023 et 3,10 heures en 2024 pour sa stagiaire. Ce nombre d'heures apparaît très important compte tenu du type d'affaire en cause. Il reste malgré tout en adéquation avec les nécessités du cas au vu du nombre des échanges d'écritures et du niveau de complexité de l'affaire. L'indemnité de conseil d'office de Me Guillaume Lammers peut ainsi être arrêtée au montant de 2'788 fr. d'honoraires ([6,5 x 180 fr./h] + [1,9 x 180 fr./h] + [8,5 x 110 fr./h] + [3,1 x 110 fr./h]) et 139 fr. 40 de débours (2'788 fr. x 5%), auxquels s'ajoute encore la TVA. Le taux de la TVA a été modifié au 1 er janvier 2024, passant de 7,7 % à 8,1 %. Toutefois, pour déterminer la manière dont les prestations fournies doivent être déclarées dans les décomptes, c’est le moment ou la période de la fourniture de la prestation qui est déterminant. En l'espèce, toutes les prestations effectuées en 2023 doivent se voir appliquer le taux de 7,7 %. Les opérations réalisées en 2024 doivent se voir appliquer le taux de 8,1%. En somme, la TVA sera calculée comme suit: 2'105 fr. ([6,5 x 180] + [8,5 x 110]) d'honoraires et 105 fr. 25 (5% x 2'105) de débours au taux de 7,7% et 683 fr. ([1,9 x 180] + [3,1 x 110) d'honoraires et 34 fr. 15 (5% x 683) de débours au taux de 8,1%. C'est donc un montant de 2'210 fr. 25 x 7,7% (170 fr. 20) et de 717 fr. 15 x 8,1% (58 fr. 10), soit 228 fr. 30 qui doivent être ajoutés. Le montant de l'indemnité d'office allouée s’élève ainsi à 3'155.70. b) L'indemnité de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à la Direction générale des affaires institutionnelles et des communes (DGAIC), qui a repris les missions de l'ancien Service juridique et législatif, de fixer les modalités de ce remboursement (art. 5 RAJ), en tenant compte des versements opérés durant la procédure. c) Vu l'issue du litige, l'arrêt est rendu sans frais (cf. art. 49 al. 1 et 52 al. 1 LPA-VD). Le recourant, qui a procédé par l'intermédiaire d'un mandataire professionnel, a droit par ailleurs à l'allocation de dépens (cf. art. 55 al. 1 LPA-VD), à la charge de l'autorité intimée (cf. art. 55 al. 2 LPA-VD). Ces dépens viendront en déduction de l'indemnité de conseil d'office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