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BO.2022.0005 vom 6. Oktober 2022</w:t>
      </w:r>
    </w:p>
    <w:p>
      <w:r>
        <w:t>VD Tribunal cantonal, 2022-10-06, FR</w:t>
      </w:r>
    </w:p>
    <w:p>
      <w:r>
        <w:rPr>
          <w:b/>
        </w:rPr>
        <w:t xml:space="preserve">Quelle: </w:t>
      </w:r>
      <w:r>
        <w:t>https://mcp.opencaselaw.ch/entscheid/vd_omni_BO.2022.0005</w:t>
      </w:r>
    </w:p>
    <w:p>
      <w:r>
        <w:t>FR: VD_OMNI BO.2022.0005 du 6 octobre 2022</w:t>
      </w:r>
    </w:p>
    <w:p>
      <w:r>
        <w:t>IT: VD_OMNI BO.2022.0005 del 6 ottobre 2022</w:t>
      </w:r>
    </w:p>
    <w:p>
      <w:pPr>
        <w:pStyle w:val="Heading2"/>
      </w:pPr>
      <w:r>
        <w:t>Regeste</w:t>
      </w:r>
    </w:p>
    <w:p>
      <w:r>
        <w:t>A.________/Office cantonal des bourses d'études et d'apprentissage | Décision de refus de bourse pour le motif que les revenus dépassent les charges. Celles-ci sont calculées selon des forfaits et il n'est pas possible de tenir compte de celles invoquées par le recourant (impôts en retard, cartes de crédit, assurance, remboursement de dette, frais liés à la prise en charge de l'invalidité de son frère et de son neveu). Recours rejeté.</w:t>
      </w:r>
    </w:p>
    <w:p>
      <w:pPr>
        <w:pStyle w:val="Heading2"/>
      </w:pPr>
      <w:r>
        <w:t>Erwägungen</w:t>
      </w:r>
    </w:p>
    <w:p>
      <w:r>
        <w:rPr>
          <w:b/>
        </w:rPr>
        <w:t>E. 1</w:t>
      </w:r>
    </w:p>
    <w:p>
      <w:r>
        <w:t>La décision sur réclamation de l’OCBE peut faire l’objet d’un recours de droit administratif au sens des art. 92 ss de la loi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Le recourant fait valoir que l'autorité intimée aurait dû retenir un certain nombre de charges supplémentaires dans le calcul de son droit à une bourse d'études, respectivement que ces charges, cumulées, permettaient d'atteindre la limite de 20% d'écart par rapport à la dernière décision de taxation disponible permettant d'en tenir compte dans le calcul du droit à la bourse d'études. 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LAEF).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Cette loi s’applique à la notion de revenu déterminant, à la définition de l’unité économique de référence et à la hiérarchisation des prestations (art. 21 al. 5 LAEF). b) Les principes de calcul de l'aide financière sont posés à l'art. 21 LAEF. L’aide de l’Etat couvre les besoins du requérant, comprenant ses charges normales et ses frais de formation, dans la mesure où ils dépassent sa capacité financière et celle des autres personnes de l'unité économique de référence (al. 1). L'unité économique de référence comprend le requérant, ses parents et les autres enfants mineurs ou majeurs à charge de la famille, ainsi que toute autre personne tenue légalement de pourvoir à son entretien (art. 23 al. 1 LAEF). Les besoins du requérant sont déterminés en fonction d’un budget établi pour l’année de formation considérée (art. 21 al. 2 LAEF). Le budget du requérant est séparé de celui des autres membres de l'unité économique de référence; lorsque les parents du requérant sont séparés ou divorcés, des budgets séparés propres à chaque cellule familiale sont établis, sous réserve de l’art. 24 LAEF (al. 3). La capacité financière est définie par la différence entre les charges normales et le revenu déterminant (art. 21 al. 4 LAEF). Le budget séparé des parents sert à déterminer la part contributive attendue des parents du requérant dépendant (art. 20 al. 1 du règlement du 11 novembre 2015 d’application de la LAEF [RLAEF; BLV 416.11.1]). Il comprend les enfants à charge, à l’exception du requérant pour lequel un budget propre est établi et, le cas échéant, des autres enfants en formation postobligatoire (art. 20 al. 2 RLAEF).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Le budget propre du requérant sert à la détermination de ses besoins et de son droit à une allocation (art. 23 al. 1 RLAEF). Les besoins du requérant comprennent ses frais de formation et ses charges normales (art. 23 al. 2 RLAEF). Sont destinés à couvrir les besoins du requérant (art. 23 al. 4 RLAEF): son revenu déterminant au sens de l’art. 22 LAEF (let. a); les ressources qui lui sont destinées, y compris celles qui ne lui sont pas versées directement, telles que les allocations familiales, les contributions d’entretien et les rentes (let. b); et la part contributive de ses parents au sens de l’art. 22 RLAEF (let. d). Si la somme des montants susmentionnés ne permet pas de couvrir les besoins du requérant, une allocation à hauteur de ce différentiel lui est octroyée (art. 23 al. 5 RLAEF). c) Selon l'art. 22 LAEF, le revenu déterminant comprend le revenu déterminant unifié, au sens de l'art. 6 LHPS, auquel est ajoutée toute prestation financière accordée par un tiers ou une institution publique ou privée (al. 1), ce par quoi il faut notamment entendre les prestations complémentaires AVS/AI et les bourses émanant d'organismes privés ou publics dans la mesure où elles sont destinées à couvrir les mêmes buts que ceux poursuivis par la loi (art. 28 al. 1 RLAEF). L’art. 7 LHPS est également applicable à la fortune immobilière des parents de la personne en formation (art. 22 al. 2 LAEF). D’après l’art. 6 al. 2 LHPS, le revenu déterminant unifié est constitué du revenu net au sens de la loi du 4 juillet 2000 sur les impôts directs cantonaux (LI; BLV 642.11), majoré de certains montants définis par cette disposition, notamment de ceux affectés aux formes reconnues de prévoyance individuelle liée (3 e pilier A) (let. a). On y ajoute un quinzième du montant composé de la fortune nette au sens de la LI, majorée de l'ensemble des dettes privées et d'exploitation, y compris celles garanties par gage immobilier; l’art. 7 LHPS demeure réservé (art. 6 al. 2 let. b LHPS). En vertu de cette disposition, lorsqu’un membre de l'unité économique de référence est propriétaire d'un immeuble qui lui sert de demeure permanente, seule la valeur fiscale de l'immeuble supérieure à une franchise par unité économique fixée par le Conseil d'Etat entre en considération au titre de fortune au sens de l'article 6 al. 2 let. b LHPS. Pour le calcul de la fortune déterminante, des franchises équivalentes aux seuils d’imposition au sens des art. 58 et 60 LI sont déduites de la fortune; les dettes ne sont pas déduites de la fortune (art. 4 al. 1 du règlement du 30 mai 2012 d’application de la LHPS [RLHPS; BLV 850.03.1]). Une franchise de 300'000 francs s’applique par ailleurs sur la valeur fiscale d’un immeuble dont le requérant est propriétaire et qui lui sert de demeure permanente (art. 4 al. 3 RLHPS). L'office procède à l'actualisation du revenu déterminant des personnes concernées conformément à l’art. 8 al. 2 LHPS lorsque l'écart entre la situation financière réelle et celle se fondant sur la dernière décision de taxation disponible, voire la dernière actualisation, est de 20% au moins (art. 28 al. 2 RLAEF). Dans ce cas, l’autorité se base sur une déclaration fournie par la personne titulaire du droit et fondée sur des pièces justificatives permettant d’établir le revenu déterminant au sens de l’art. 6 (art. 8 al. 2 LHPS). Il convient encore de tenir compte du fait que selon l'art. 4 al. 1 LHPS l'examen du droit aux prestations catégorielles s'effectue dans l'ordre établi à l'art. 2 let. a LHPS, qui prévoit les subsides aux primes de l'assurance-maladie (1 er tiret), l'aide individuelle au logement (2 e tiret), les avances sur pensions alimentaires (3 e tiret) et les aides aux études et à la formation professionnelle, à l'exception des frais d'étude, d'écolage et de matériel d'étude (4 e tiret). Ainsi, pour le calcul du droit à une prestation catégorielle, le revenu déterminant résultant des prestations catégorielles précédentes, auxquelles le titulaire peut prétendre ou qui lui ont été octroyées, est pris en compte (art.</w:t>
      </w:r>
    </w:p>
    <w:p>
      <w:r>
        <w:rPr>
          <w:b/>
        </w:rPr>
        <w:t>E. 4</w:t>
      </w:r>
    </w:p>
    <w:p>
      <w:r>
        <w:t>Il résulte de ce qui précède que le recours doit être rejeté et la décision attaquée, confirmée. Vu l'issue du litige, les frais de justice seront mis à la charge du recourant.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